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514" w:rsidRPr="00914DA1" w:rsidRDefault="00764514" w:rsidP="00B92C55">
      <w:pPr>
        <w:keepNext/>
        <w:shd w:val="clear" w:color="auto" w:fill="FFFFFF"/>
        <w:autoSpaceDE w:val="0"/>
        <w:autoSpaceDN w:val="0"/>
        <w:spacing w:after="0"/>
        <w:ind w:firstLine="709"/>
        <w:jc w:val="center"/>
        <w:outlineLvl w:val="1"/>
        <w:rPr>
          <w:rFonts w:ascii="Times New Roman" w:hAnsi="Times New Roman"/>
          <w:b/>
          <w:bCs/>
          <w:spacing w:val="-5"/>
          <w:sz w:val="28"/>
          <w:szCs w:val="28"/>
          <w:lang w:val="uk-UA" w:eastAsia="ru-RU"/>
        </w:rPr>
      </w:pPr>
      <w:r w:rsidRPr="00914DA1">
        <w:rPr>
          <w:rFonts w:ascii="Times New Roman" w:hAnsi="Times New Roman"/>
          <w:b/>
          <w:bCs/>
          <w:spacing w:val="-5"/>
          <w:sz w:val="28"/>
          <w:szCs w:val="28"/>
          <w:lang w:val="uk-UA" w:eastAsia="ru-RU"/>
        </w:rPr>
        <w:t>ПОЯСНЮВАЛЬНА ЗАПИСКА</w:t>
      </w:r>
    </w:p>
    <w:p w:rsidR="00701F3F" w:rsidRPr="00914DA1" w:rsidRDefault="00764514" w:rsidP="008720E2">
      <w:pPr>
        <w:spacing w:after="0"/>
        <w:jc w:val="center"/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</w:pPr>
      <w:r w:rsidRPr="00914DA1">
        <w:rPr>
          <w:rFonts w:ascii="Times New Roman" w:hAnsi="Times New Roman"/>
          <w:b/>
          <w:sz w:val="28"/>
          <w:szCs w:val="28"/>
          <w:lang w:val="uk-UA" w:eastAsia="ru-RU"/>
        </w:rPr>
        <w:t>до проекту Закону України</w:t>
      </w:r>
      <w:r w:rsidR="00FA3CEA" w:rsidRPr="00914DA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3B3DF8" w:rsidRPr="00914DA1">
        <w:rPr>
          <w:rFonts w:ascii="Times New Roman" w:hAnsi="Times New Roman"/>
          <w:b/>
          <w:bCs/>
          <w:spacing w:val="-3"/>
          <w:sz w:val="28"/>
          <w:szCs w:val="28"/>
          <w:lang w:val="uk-UA"/>
        </w:rPr>
        <w:t>«</w:t>
      </w:r>
      <w:r w:rsidR="008720E2" w:rsidRPr="00E6163C">
        <w:rPr>
          <w:rFonts w:ascii="Times New Roman" w:hAnsi="Times New Roman"/>
          <w:b/>
          <w:sz w:val="28"/>
          <w:szCs w:val="28"/>
          <w:lang w:val="uk-UA"/>
        </w:rPr>
        <w:t>Про внесення змін до Податкового кодексу України щодо заходів, спрямован</w:t>
      </w:r>
      <w:r w:rsidR="008720E2" w:rsidRPr="005C7658">
        <w:rPr>
          <w:rFonts w:ascii="Times New Roman" w:hAnsi="Times New Roman"/>
          <w:b/>
          <w:sz w:val="28"/>
          <w:szCs w:val="28"/>
          <w:lang w:val="uk-UA"/>
        </w:rPr>
        <w:t>их</w:t>
      </w:r>
      <w:r w:rsidR="008720E2" w:rsidRPr="00E6163C">
        <w:rPr>
          <w:rFonts w:ascii="Times New Roman" w:hAnsi="Times New Roman"/>
          <w:b/>
          <w:sz w:val="28"/>
          <w:szCs w:val="28"/>
          <w:lang w:val="uk-UA"/>
        </w:rPr>
        <w:t xml:space="preserve"> на погашення заборгованості, що утворилася на оптовому ринку електричної енергії</w:t>
      </w:r>
      <w:r w:rsidR="00C677AC" w:rsidRPr="00914DA1"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>»</w:t>
      </w:r>
    </w:p>
    <w:p w:rsidR="00C677AC" w:rsidRPr="00914DA1" w:rsidRDefault="00C677AC" w:rsidP="00B92C55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Cs/>
          <w:spacing w:val="-2"/>
          <w:sz w:val="28"/>
          <w:szCs w:val="28"/>
          <w:lang w:val="uk-UA"/>
        </w:rPr>
      </w:pPr>
    </w:p>
    <w:p w:rsidR="00764514" w:rsidRPr="00914DA1" w:rsidRDefault="00764514" w:rsidP="00B92C55">
      <w:pPr>
        <w:numPr>
          <w:ilvl w:val="0"/>
          <w:numId w:val="2"/>
        </w:numPr>
        <w:autoSpaceDE w:val="0"/>
        <w:autoSpaceDN w:val="0"/>
        <w:spacing w:after="0"/>
        <w:ind w:left="0" w:firstLine="709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14DA1">
        <w:rPr>
          <w:rFonts w:ascii="Times New Roman" w:hAnsi="Times New Roman"/>
          <w:b/>
          <w:bCs/>
          <w:sz w:val="28"/>
          <w:szCs w:val="28"/>
          <w:lang w:val="uk-UA" w:eastAsia="ru-RU"/>
        </w:rPr>
        <w:t>Обґрунтув</w:t>
      </w:r>
      <w:r w:rsidR="00B92C55" w:rsidRPr="00914DA1">
        <w:rPr>
          <w:rFonts w:ascii="Times New Roman" w:hAnsi="Times New Roman"/>
          <w:b/>
          <w:bCs/>
          <w:sz w:val="28"/>
          <w:szCs w:val="28"/>
          <w:lang w:val="uk-UA" w:eastAsia="ru-RU"/>
        </w:rPr>
        <w:t>ання необхідності прийняття акту</w:t>
      </w:r>
    </w:p>
    <w:p w:rsidR="00A12162" w:rsidRPr="00914DA1" w:rsidRDefault="00A12162" w:rsidP="00B9137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14DA1">
        <w:rPr>
          <w:rFonts w:ascii="Times New Roman" w:hAnsi="Times New Roman"/>
          <w:sz w:val="28"/>
          <w:szCs w:val="28"/>
          <w:lang w:val="uk-UA"/>
        </w:rPr>
        <w:t>На виконання зобов’язань України за Договором про заснування Енергетичного Співтовариства та Угодою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сторони, Верховною Радою було прийнято Закон України «Про ринок електричної енергії» № 2019-VIII від 13.04.2017 р.</w:t>
      </w:r>
      <w:r w:rsidR="006922B2" w:rsidRPr="00914DA1">
        <w:rPr>
          <w:rFonts w:ascii="Times New Roman" w:hAnsi="Times New Roman"/>
          <w:sz w:val="28"/>
          <w:szCs w:val="28"/>
          <w:lang w:val="uk-UA"/>
        </w:rPr>
        <w:t xml:space="preserve"> (далі – </w:t>
      </w:r>
      <w:bookmarkStart w:id="0" w:name="_Hlk20751899"/>
      <w:r w:rsidR="006922B2" w:rsidRPr="00914DA1">
        <w:rPr>
          <w:rFonts w:ascii="Times New Roman" w:hAnsi="Times New Roman"/>
          <w:sz w:val="28"/>
          <w:szCs w:val="28"/>
          <w:lang w:val="uk-UA"/>
        </w:rPr>
        <w:t xml:space="preserve">Закон </w:t>
      </w:r>
      <w:r w:rsidR="00B91379" w:rsidRPr="00914DA1">
        <w:rPr>
          <w:rFonts w:ascii="Times New Roman" w:hAnsi="Times New Roman"/>
          <w:sz w:val="28"/>
          <w:szCs w:val="28"/>
          <w:lang w:val="uk-UA"/>
        </w:rPr>
        <w:t>2019-VIII</w:t>
      </w:r>
      <w:bookmarkEnd w:id="0"/>
      <w:r w:rsidR="006922B2" w:rsidRPr="00914DA1">
        <w:rPr>
          <w:rFonts w:ascii="Times New Roman" w:hAnsi="Times New Roman"/>
          <w:sz w:val="28"/>
          <w:szCs w:val="28"/>
          <w:lang w:val="uk-UA"/>
        </w:rPr>
        <w:t>)</w:t>
      </w:r>
      <w:r w:rsidRPr="00914DA1">
        <w:rPr>
          <w:rFonts w:ascii="Times New Roman" w:hAnsi="Times New Roman"/>
          <w:sz w:val="28"/>
          <w:szCs w:val="28"/>
          <w:lang w:val="uk-UA"/>
        </w:rPr>
        <w:t xml:space="preserve">, який 11.06.2017 року набрав чинності, спрямований на імплементацію актів законодавства Енергетичного Співтовариства у сфері енергетики, зокрема Директиви 2009/72/ЄС про спільні правила внутрішнього ринку електричної енергії та про скасування Директиви 2003/54/ЄС, Регламенту (ЄС) 714/2009 про умови доступу до мережі транскордонного обміну електроенергією та скасування Регламенту (ЄС) 1228/2003, Директиви 2005/89/ЄС про заходи для забезпечення безпеки інвестування до системи електропостачання та інфраструктури. </w:t>
      </w:r>
    </w:p>
    <w:p w:rsidR="00B45F64" w:rsidRPr="003E64DA" w:rsidRDefault="00B91379" w:rsidP="00B913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1" w:name="_Hlk20751910"/>
      <w:r w:rsidRPr="00914DA1">
        <w:rPr>
          <w:rFonts w:ascii="Times New Roman" w:hAnsi="Times New Roman"/>
          <w:sz w:val="28"/>
          <w:szCs w:val="28"/>
          <w:lang w:val="uk-UA"/>
        </w:rPr>
        <w:t>Закон 2019-VIII</w:t>
      </w:r>
      <w:r w:rsidR="00B45F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2162" w:rsidRPr="00914DA1">
        <w:rPr>
          <w:rFonts w:ascii="Times New Roman" w:hAnsi="Times New Roman"/>
          <w:sz w:val="28"/>
          <w:szCs w:val="28"/>
          <w:lang w:val="uk-UA"/>
        </w:rPr>
        <w:t>кардинально змін</w:t>
      </w:r>
      <w:r w:rsidR="00B45F64">
        <w:rPr>
          <w:rFonts w:ascii="Times New Roman" w:hAnsi="Times New Roman"/>
          <w:sz w:val="28"/>
          <w:szCs w:val="28"/>
          <w:lang w:val="uk-UA"/>
        </w:rPr>
        <w:t>ив</w:t>
      </w:r>
      <w:r w:rsidR="00A12162" w:rsidRPr="00914DA1">
        <w:rPr>
          <w:rFonts w:ascii="Times New Roman" w:hAnsi="Times New Roman"/>
          <w:sz w:val="28"/>
          <w:szCs w:val="28"/>
          <w:lang w:val="uk-UA"/>
        </w:rPr>
        <w:t xml:space="preserve"> засади функціонування ринку електричної енергії та з 1 липня 2019 року </w:t>
      </w:r>
      <w:r w:rsidR="00B45F64">
        <w:rPr>
          <w:rFonts w:ascii="Times New Roman" w:hAnsi="Times New Roman"/>
          <w:sz w:val="28"/>
          <w:szCs w:val="28"/>
          <w:lang w:val="uk-UA" w:eastAsia="uk-UA"/>
        </w:rPr>
        <w:t>відбувся</w:t>
      </w:r>
      <w:r w:rsidR="00B45F64" w:rsidRPr="003E64DA">
        <w:rPr>
          <w:rFonts w:ascii="Times New Roman" w:hAnsi="Times New Roman"/>
          <w:sz w:val="28"/>
          <w:szCs w:val="28"/>
          <w:lang w:val="uk-UA" w:eastAsia="uk-UA"/>
        </w:rPr>
        <w:t xml:space="preserve"> перехід на нову модель ринку електричної енергії</w:t>
      </w:r>
      <w:r w:rsidR="00FB1B34" w:rsidRPr="00914DA1">
        <w:rPr>
          <w:rFonts w:ascii="Times New Roman" w:hAnsi="Times New Roman"/>
          <w:sz w:val="28"/>
          <w:szCs w:val="28"/>
          <w:lang w:val="uk-UA"/>
        </w:rPr>
        <w:t>.</w:t>
      </w:r>
      <w:r w:rsidR="00A12162" w:rsidRPr="00914D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5F64" w:rsidRPr="003E64DA">
        <w:rPr>
          <w:rFonts w:ascii="Times New Roman" w:hAnsi="Times New Roman"/>
          <w:sz w:val="28"/>
          <w:szCs w:val="28"/>
          <w:lang w:val="uk-UA" w:eastAsia="uk-UA"/>
        </w:rPr>
        <w:t xml:space="preserve">Новий ринок «на добу наперед» та </w:t>
      </w:r>
      <w:r w:rsidR="007B2758">
        <w:rPr>
          <w:rFonts w:ascii="Times New Roman" w:hAnsi="Times New Roman"/>
          <w:sz w:val="28"/>
          <w:szCs w:val="28"/>
          <w:lang w:val="uk-UA" w:eastAsia="uk-UA"/>
        </w:rPr>
        <w:t>«</w:t>
      </w:r>
      <w:r w:rsidR="00B45F64" w:rsidRPr="003E64DA">
        <w:rPr>
          <w:rFonts w:ascii="Times New Roman" w:hAnsi="Times New Roman"/>
          <w:sz w:val="28"/>
          <w:szCs w:val="28"/>
          <w:lang w:val="uk-UA" w:eastAsia="uk-UA"/>
        </w:rPr>
        <w:t>внутрішньодобовий ринок</w:t>
      </w:r>
      <w:r w:rsidR="007B2758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B45F64" w:rsidRPr="003E64DA">
        <w:rPr>
          <w:rFonts w:ascii="Times New Roman" w:hAnsi="Times New Roman"/>
          <w:sz w:val="28"/>
          <w:szCs w:val="28"/>
          <w:lang w:val="uk-UA" w:eastAsia="uk-UA"/>
        </w:rPr>
        <w:t xml:space="preserve"> функціонально є </w:t>
      </w:r>
      <w:r w:rsidR="007B2758" w:rsidRPr="003E64DA">
        <w:rPr>
          <w:rFonts w:ascii="Times New Roman" w:hAnsi="Times New Roman"/>
          <w:sz w:val="28"/>
          <w:szCs w:val="28"/>
          <w:lang w:val="uk-UA" w:eastAsia="uk-UA"/>
        </w:rPr>
        <w:t>біржою</w:t>
      </w:r>
      <w:r w:rsidR="00B45F64" w:rsidRPr="003E64DA">
        <w:rPr>
          <w:rFonts w:ascii="Times New Roman" w:hAnsi="Times New Roman"/>
          <w:sz w:val="28"/>
          <w:szCs w:val="28"/>
          <w:lang w:val="uk-UA" w:eastAsia="uk-UA"/>
        </w:rPr>
        <w:t>, на якій визначається єдина ціна на електроенергію за принципом маржинального ціноутворення на основі балансу сукупного попиту та сукупної пропозиції.</w:t>
      </w:r>
    </w:p>
    <w:p w:rsidR="00AF571D" w:rsidRPr="00914DA1" w:rsidRDefault="00B91379" w:rsidP="00B9137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_Hlk20752004"/>
      <w:bookmarkEnd w:id="1"/>
      <w:r w:rsidRPr="00914DA1">
        <w:rPr>
          <w:rFonts w:ascii="Times New Roman" w:hAnsi="Times New Roman"/>
          <w:sz w:val="28"/>
          <w:szCs w:val="28"/>
          <w:lang w:val="uk-UA"/>
        </w:rPr>
        <w:t xml:space="preserve">Задля досягнення стратегічної мети законодавець 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B45F64">
        <w:rPr>
          <w:rFonts w:ascii="Times New Roman" w:hAnsi="Times New Roman"/>
          <w:sz w:val="28"/>
          <w:szCs w:val="28"/>
          <w:lang w:val="uk-UA"/>
        </w:rPr>
        <w:t>З</w:t>
      </w:r>
      <w:r w:rsidR="00A12162" w:rsidRPr="00914DA1">
        <w:rPr>
          <w:rFonts w:ascii="Times New Roman" w:hAnsi="Times New Roman"/>
          <w:sz w:val="28"/>
          <w:szCs w:val="28"/>
          <w:lang w:val="uk-UA"/>
        </w:rPr>
        <w:t xml:space="preserve">аконі </w:t>
      </w:r>
      <w:r w:rsidRPr="00914DA1">
        <w:rPr>
          <w:rFonts w:ascii="Times New Roman" w:hAnsi="Times New Roman"/>
          <w:sz w:val="28"/>
          <w:szCs w:val="28"/>
          <w:lang w:val="uk-UA"/>
        </w:rPr>
        <w:t>2019-VIII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5F64">
        <w:rPr>
          <w:rFonts w:ascii="Times New Roman" w:hAnsi="Times New Roman"/>
          <w:sz w:val="28"/>
          <w:szCs w:val="28"/>
          <w:lang w:val="uk-UA"/>
        </w:rPr>
        <w:t>визнач</w:t>
      </w:r>
      <w:r>
        <w:rPr>
          <w:rFonts w:ascii="Times New Roman" w:hAnsi="Times New Roman"/>
          <w:sz w:val="28"/>
          <w:szCs w:val="28"/>
          <w:lang w:val="uk-UA"/>
        </w:rPr>
        <w:t>ив</w:t>
      </w:r>
      <w:r w:rsidR="00B45F64">
        <w:rPr>
          <w:rFonts w:ascii="Times New Roman" w:hAnsi="Times New Roman"/>
          <w:sz w:val="28"/>
          <w:szCs w:val="28"/>
          <w:lang w:val="uk-UA"/>
        </w:rPr>
        <w:t xml:space="preserve"> низку</w:t>
      </w:r>
      <w:r w:rsidR="00A12162" w:rsidRPr="00914D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71D" w:rsidRPr="00914DA1">
        <w:rPr>
          <w:rFonts w:ascii="Times New Roman" w:hAnsi="Times New Roman"/>
          <w:sz w:val="28"/>
          <w:szCs w:val="28"/>
          <w:lang w:val="uk-UA"/>
        </w:rPr>
        <w:t xml:space="preserve">обов’язкових </w:t>
      </w:r>
      <w:r w:rsidR="00A12162" w:rsidRPr="00914DA1">
        <w:rPr>
          <w:rFonts w:ascii="Times New Roman" w:hAnsi="Times New Roman"/>
          <w:sz w:val="28"/>
          <w:szCs w:val="28"/>
          <w:lang w:val="uk-UA"/>
        </w:rPr>
        <w:t>заходів, які необхідно здійснити на державному рівні для забезпечення впровадження нового ринку е</w:t>
      </w:r>
      <w:r w:rsidR="00AC1BC0">
        <w:rPr>
          <w:rFonts w:ascii="Times New Roman" w:hAnsi="Times New Roman"/>
          <w:sz w:val="28"/>
          <w:szCs w:val="28"/>
          <w:lang w:val="uk-UA"/>
        </w:rPr>
        <w:t>лектричної енергії,</w:t>
      </w:r>
      <w:bookmarkEnd w:id="2"/>
      <w:r w:rsidR="00AC1BC0">
        <w:rPr>
          <w:rFonts w:ascii="Times New Roman" w:hAnsi="Times New Roman"/>
          <w:sz w:val="28"/>
          <w:szCs w:val="28"/>
          <w:lang w:val="uk-UA"/>
        </w:rPr>
        <w:t xml:space="preserve"> серед яких зазначені </w:t>
      </w:r>
      <w:r w:rsidR="00A12162" w:rsidRPr="00914DA1">
        <w:rPr>
          <w:rFonts w:ascii="Times New Roman" w:hAnsi="Times New Roman"/>
          <w:sz w:val="28"/>
          <w:szCs w:val="28"/>
          <w:lang w:val="uk-UA"/>
        </w:rPr>
        <w:t>розроб</w:t>
      </w:r>
      <w:r w:rsidR="00F21FEA" w:rsidRPr="00914DA1">
        <w:rPr>
          <w:rFonts w:ascii="Times New Roman" w:hAnsi="Times New Roman"/>
          <w:sz w:val="28"/>
          <w:szCs w:val="28"/>
          <w:lang w:val="uk-UA"/>
        </w:rPr>
        <w:t>ка</w:t>
      </w:r>
      <w:r w:rsidR="00AF571D" w:rsidRPr="00914D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2162" w:rsidRPr="00914DA1">
        <w:rPr>
          <w:rFonts w:ascii="Times New Roman" w:hAnsi="Times New Roman"/>
          <w:sz w:val="28"/>
          <w:szCs w:val="28"/>
          <w:lang w:val="uk-UA"/>
        </w:rPr>
        <w:t>та внес</w:t>
      </w:r>
      <w:r w:rsidR="00F21FEA" w:rsidRPr="00914DA1">
        <w:rPr>
          <w:rFonts w:ascii="Times New Roman" w:hAnsi="Times New Roman"/>
          <w:sz w:val="28"/>
          <w:szCs w:val="28"/>
          <w:lang w:val="uk-UA"/>
        </w:rPr>
        <w:t xml:space="preserve">ення </w:t>
      </w:r>
      <w:r w:rsidR="00A12162" w:rsidRPr="00914DA1">
        <w:rPr>
          <w:rFonts w:ascii="Times New Roman" w:hAnsi="Times New Roman"/>
          <w:sz w:val="28"/>
          <w:szCs w:val="28"/>
          <w:lang w:val="uk-UA"/>
        </w:rPr>
        <w:t xml:space="preserve"> на розгляд Верховної Ради України</w:t>
      </w:r>
      <w:r w:rsidR="00AF571D" w:rsidRPr="00914DA1">
        <w:rPr>
          <w:rFonts w:ascii="Times New Roman" w:hAnsi="Times New Roman"/>
          <w:sz w:val="28"/>
          <w:szCs w:val="28"/>
          <w:lang w:val="uk-UA"/>
        </w:rPr>
        <w:t>:</w:t>
      </w:r>
    </w:p>
    <w:p w:rsidR="00AF571D" w:rsidRPr="00173B61" w:rsidRDefault="00AF571D" w:rsidP="00B9137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14DA1">
        <w:rPr>
          <w:rFonts w:ascii="Times New Roman" w:hAnsi="Times New Roman"/>
          <w:sz w:val="28"/>
          <w:szCs w:val="28"/>
          <w:lang w:val="uk-UA"/>
        </w:rPr>
        <w:t>-</w:t>
      </w:r>
      <w:r w:rsidR="00A12162" w:rsidRPr="00914DA1">
        <w:rPr>
          <w:rFonts w:ascii="Times New Roman" w:hAnsi="Times New Roman"/>
          <w:sz w:val="28"/>
          <w:szCs w:val="28"/>
          <w:lang w:val="uk-UA"/>
        </w:rPr>
        <w:t xml:space="preserve"> законопроект</w:t>
      </w:r>
      <w:r w:rsidR="00F21FEA" w:rsidRPr="00914DA1">
        <w:rPr>
          <w:rFonts w:ascii="Times New Roman" w:hAnsi="Times New Roman"/>
          <w:sz w:val="28"/>
          <w:szCs w:val="28"/>
          <w:lang w:val="uk-UA"/>
        </w:rPr>
        <w:t>у</w:t>
      </w:r>
      <w:r w:rsidR="00A12162" w:rsidRPr="00914DA1">
        <w:rPr>
          <w:rFonts w:ascii="Times New Roman" w:hAnsi="Times New Roman"/>
          <w:sz w:val="28"/>
          <w:szCs w:val="28"/>
          <w:lang w:val="uk-UA"/>
        </w:rPr>
        <w:t xml:space="preserve"> щодо </w:t>
      </w:r>
      <w:r w:rsidR="00A12162" w:rsidRPr="00173B61">
        <w:rPr>
          <w:rFonts w:ascii="Times New Roman" w:hAnsi="Times New Roman"/>
          <w:sz w:val="28"/>
          <w:szCs w:val="28"/>
          <w:lang w:val="uk-UA"/>
        </w:rPr>
        <w:t>погашення заборгованості за електричну енергію, що утворилася на оптовому ринку електричної енергії</w:t>
      </w:r>
      <w:r w:rsidRPr="00173B61">
        <w:rPr>
          <w:rFonts w:ascii="Times New Roman" w:hAnsi="Times New Roman"/>
          <w:sz w:val="28"/>
          <w:szCs w:val="28"/>
          <w:lang w:val="uk-UA"/>
        </w:rPr>
        <w:t>;</w:t>
      </w:r>
    </w:p>
    <w:p w:rsidR="00AF571D" w:rsidRPr="00173B61" w:rsidRDefault="00AF571D" w:rsidP="00B9137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73B61">
        <w:rPr>
          <w:rFonts w:ascii="Times New Roman" w:hAnsi="Times New Roman"/>
          <w:sz w:val="28"/>
          <w:szCs w:val="28"/>
          <w:lang w:val="uk-UA"/>
        </w:rPr>
        <w:t>- законопроект</w:t>
      </w:r>
      <w:r w:rsidR="00F21FEA" w:rsidRPr="00173B61">
        <w:rPr>
          <w:rFonts w:ascii="Times New Roman" w:hAnsi="Times New Roman"/>
          <w:sz w:val="28"/>
          <w:szCs w:val="28"/>
          <w:lang w:val="uk-UA"/>
        </w:rPr>
        <w:t>у</w:t>
      </w:r>
      <w:r w:rsidRPr="00173B61">
        <w:rPr>
          <w:rFonts w:ascii="Times New Roman" w:hAnsi="Times New Roman"/>
          <w:sz w:val="28"/>
          <w:szCs w:val="28"/>
          <w:lang w:val="uk-UA"/>
        </w:rPr>
        <w:t xml:space="preserve"> про внесення змін до Податкового кодексу України щодо забезпечення функціонування нового ринку електричної енергії.</w:t>
      </w:r>
    </w:p>
    <w:p w:rsidR="002E4DCC" w:rsidRPr="00173B61" w:rsidRDefault="008720E2" w:rsidP="00B9137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20E2">
        <w:rPr>
          <w:rFonts w:ascii="Times New Roman" w:hAnsi="Times New Roman"/>
          <w:sz w:val="28"/>
          <w:szCs w:val="28"/>
          <w:lang w:val="uk-UA"/>
        </w:rPr>
        <w:t>Н</w:t>
      </w:r>
      <w:r w:rsidR="00AF571D" w:rsidRPr="00173B61">
        <w:rPr>
          <w:rFonts w:ascii="Times New Roman" w:hAnsi="Times New Roman"/>
          <w:sz w:val="28"/>
          <w:szCs w:val="28"/>
          <w:lang w:val="uk-UA"/>
        </w:rPr>
        <w:t>а сьогодні розроб</w:t>
      </w:r>
      <w:r w:rsidR="00F21FEA" w:rsidRPr="00173B61">
        <w:rPr>
          <w:rFonts w:ascii="Times New Roman" w:hAnsi="Times New Roman"/>
          <w:sz w:val="28"/>
          <w:szCs w:val="28"/>
          <w:lang w:val="uk-UA"/>
        </w:rPr>
        <w:t xml:space="preserve">лено </w:t>
      </w:r>
      <w:r w:rsidR="00AF571D" w:rsidRPr="00173B61">
        <w:rPr>
          <w:rFonts w:ascii="Times New Roman" w:hAnsi="Times New Roman"/>
          <w:sz w:val="28"/>
          <w:szCs w:val="28"/>
          <w:lang w:val="uk-UA"/>
        </w:rPr>
        <w:t xml:space="preserve">законопроект </w:t>
      </w:r>
      <w:r w:rsidRPr="008720E2">
        <w:rPr>
          <w:rFonts w:ascii="Times New Roman" w:hAnsi="Times New Roman"/>
          <w:sz w:val="28"/>
          <w:szCs w:val="28"/>
          <w:lang w:val="uk-UA"/>
        </w:rPr>
        <w:t>«Про заходи, спрямовані на погашення заборгованості,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720E2">
        <w:rPr>
          <w:rFonts w:ascii="Times New Roman" w:hAnsi="Times New Roman"/>
          <w:sz w:val="28"/>
          <w:szCs w:val="28"/>
          <w:lang w:val="uk-UA"/>
        </w:rPr>
        <w:t>що утворилася на оптовому ринку електричної енергії»</w:t>
      </w:r>
      <w:r w:rsidR="002E4DCC" w:rsidRPr="00173B6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808DA" w:rsidRPr="00914DA1" w:rsidRDefault="002E4DCC" w:rsidP="00B9137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73B61">
        <w:rPr>
          <w:rFonts w:ascii="Times New Roman" w:hAnsi="Times New Roman"/>
          <w:sz w:val="28"/>
          <w:szCs w:val="28"/>
          <w:lang w:val="uk-UA"/>
        </w:rPr>
        <w:t>З метою забезпечення впровадження нового ринку електричної енергії</w:t>
      </w:r>
      <w:r w:rsidR="00B8297B" w:rsidRPr="00173B61">
        <w:rPr>
          <w:rFonts w:ascii="Times New Roman" w:hAnsi="Times New Roman"/>
          <w:sz w:val="28"/>
          <w:szCs w:val="28"/>
          <w:lang w:val="uk-UA"/>
        </w:rPr>
        <w:t xml:space="preserve"> розроблено та пропонується для </w:t>
      </w:r>
      <w:r w:rsidR="003808DA" w:rsidRPr="00173B61">
        <w:rPr>
          <w:rFonts w:ascii="Times New Roman" w:hAnsi="Times New Roman"/>
          <w:sz w:val="28"/>
          <w:szCs w:val="28"/>
          <w:lang w:val="uk-UA"/>
        </w:rPr>
        <w:t>розгляд</w:t>
      </w:r>
      <w:r w:rsidR="00B8297B" w:rsidRPr="00173B61">
        <w:rPr>
          <w:rFonts w:ascii="Times New Roman" w:hAnsi="Times New Roman"/>
          <w:sz w:val="28"/>
          <w:szCs w:val="28"/>
          <w:lang w:val="uk-UA"/>
        </w:rPr>
        <w:t>у</w:t>
      </w:r>
      <w:r w:rsidR="003808DA" w:rsidRPr="00173B61">
        <w:rPr>
          <w:rFonts w:ascii="Times New Roman" w:hAnsi="Times New Roman"/>
          <w:sz w:val="28"/>
          <w:szCs w:val="28"/>
          <w:lang w:val="uk-UA"/>
        </w:rPr>
        <w:t xml:space="preserve"> Верховно</w:t>
      </w:r>
      <w:r w:rsidR="00B8297B" w:rsidRPr="00173B61">
        <w:rPr>
          <w:rFonts w:ascii="Times New Roman" w:hAnsi="Times New Roman"/>
          <w:sz w:val="28"/>
          <w:szCs w:val="28"/>
          <w:lang w:val="uk-UA"/>
        </w:rPr>
        <w:t>ю</w:t>
      </w:r>
      <w:r w:rsidR="003808DA" w:rsidRPr="00173B61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B8297B" w:rsidRPr="00173B61">
        <w:rPr>
          <w:rFonts w:ascii="Times New Roman" w:hAnsi="Times New Roman"/>
          <w:sz w:val="28"/>
          <w:szCs w:val="28"/>
          <w:lang w:val="uk-UA"/>
        </w:rPr>
        <w:t>ою</w:t>
      </w:r>
      <w:r w:rsidR="006922B2" w:rsidRPr="00173B61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3808DA" w:rsidRPr="00173B61">
        <w:rPr>
          <w:rFonts w:ascii="Times New Roman" w:hAnsi="Times New Roman"/>
          <w:sz w:val="28"/>
          <w:szCs w:val="28"/>
          <w:lang w:val="uk-UA"/>
        </w:rPr>
        <w:t xml:space="preserve"> законопроект, який </w:t>
      </w:r>
      <w:r w:rsidR="00B8297B" w:rsidRPr="00173B61">
        <w:rPr>
          <w:rFonts w:ascii="Times New Roman" w:hAnsi="Times New Roman"/>
          <w:sz w:val="28"/>
          <w:szCs w:val="28"/>
          <w:lang w:val="uk-UA"/>
        </w:rPr>
        <w:t>врегульовує</w:t>
      </w:r>
      <w:r w:rsidR="003808DA" w:rsidRPr="00173B61">
        <w:rPr>
          <w:rFonts w:ascii="Times New Roman" w:hAnsi="Times New Roman"/>
          <w:sz w:val="28"/>
          <w:szCs w:val="28"/>
          <w:lang w:val="uk-UA"/>
        </w:rPr>
        <w:t xml:space="preserve"> особливості оподаткування</w:t>
      </w:r>
      <w:r w:rsidR="003808DA" w:rsidRPr="00914DA1">
        <w:rPr>
          <w:rFonts w:ascii="Times New Roman" w:hAnsi="Times New Roman"/>
          <w:sz w:val="28"/>
          <w:szCs w:val="28"/>
          <w:lang w:val="uk-UA"/>
        </w:rPr>
        <w:t xml:space="preserve"> операцій, </w:t>
      </w:r>
      <w:r w:rsidR="003808DA" w:rsidRPr="00914DA1">
        <w:rPr>
          <w:rFonts w:ascii="Times New Roman" w:hAnsi="Times New Roman"/>
          <w:sz w:val="28"/>
          <w:szCs w:val="28"/>
          <w:lang w:val="uk-UA"/>
        </w:rPr>
        <w:lastRenderedPageBreak/>
        <w:t>пов’язаних з процедурою погашення заборгованості, що утворилася на оптовому ринку електричної енергії.</w:t>
      </w:r>
    </w:p>
    <w:p w:rsidR="003808DA" w:rsidRDefault="003808DA" w:rsidP="00B9137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14DA1">
        <w:rPr>
          <w:rFonts w:ascii="Times New Roman" w:hAnsi="Times New Roman"/>
          <w:sz w:val="28"/>
          <w:szCs w:val="28"/>
          <w:lang w:val="uk-UA"/>
        </w:rPr>
        <w:t xml:space="preserve">Прийняття </w:t>
      </w:r>
      <w:r w:rsidR="00715140">
        <w:rPr>
          <w:rFonts w:ascii="Times New Roman" w:hAnsi="Times New Roman"/>
          <w:sz w:val="28"/>
          <w:szCs w:val="28"/>
          <w:lang w:val="uk-UA"/>
        </w:rPr>
        <w:t xml:space="preserve">запропонованих </w:t>
      </w:r>
      <w:r w:rsidRPr="00914DA1">
        <w:rPr>
          <w:rFonts w:ascii="Times New Roman" w:hAnsi="Times New Roman"/>
          <w:sz w:val="28"/>
          <w:szCs w:val="28"/>
          <w:lang w:val="uk-UA"/>
        </w:rPr>
        <w:t>змін до Податкового кодексу України забезпечить можливість своєчасної реалізації всіх механізмів погашення заборгованості на ОРЕ, визначених законопроект</w:t>
      </w:r>
      <w:r w:rsidR="008720E2">
        <w:rPr>
          <w:rFonts w:ascii="Times New Roman" w:hAnsi="Times New Roman"/>
          <w:sz w:val="28"/>
          <w:szCs w:val="28"/>
          <w:lang w:val="uk-UA"/>
        </w:rPr>
        <w:t xml:space="preserve">ом </w:t>
      </w:r>
      <w:r w:rsidR="008720E2" w:rsidRPr="008720E2">
        <w:rPr>
          <w:rFonts w:ascii="Times New Roman" w:hAnsi="Times New Roman"/>
          <w:sz w:val="28"/>
          <w:szCs w:val="28"/>
          <w:lang w:val="uk-UA"/>
        </w:rPr>
        <w:t>«Про заходи, спрямовані на погашення заборгованості,</w:t>
      </w:r>
      <w:r w:rsidR="008720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0E2" w:rsidRPr="008720E2">
        <w:rPr>
          <w:rFonts w:ascii="Times New Roman" w:hAnsi="Times New Roman"/>
          <w:sz w:val="28"/>
          <w:szCs w:val="28"/>
          <w:lang w:val="uk-UA"/>
        </w:rPr>
        <w:t>що утворилася на оптовому ринку електричної енергії»</w:t>
      </w:r>
      <w:r w:rsidRPr="00914DA1">
        <w:rPr>
          <w:rFonts w:ascii="Times New Roman" w:hAnsi="Times New Roman"/>
          <w:sz w:val="28"/>
          <w:szCs w:val="28"/>
          <w:lang w:val="uk-UA"/>
        </w:rPr>
        <w:t xml:space="preserve">, які спрямовані на </w:t>
      </w:r>
      <w:r w:rsidR="008720E2">
        <w:rPr>
          <w:rFonts w:ascii="Times New Roman" w:hAnsi="Times New Roman"/>
          <w:sz w:val="28"/>
          <w:szCs w:val="28"/>
          <w:lang w:val="uk-UA"/>
        </w:rPr>
        <w:t xml:space="preserve">повне погашення заборгованості </w:t>
      </w:r>
      <w:r w:rsidRPr="00914DA1">
        <w:rPr>
          <w:rFonts w:ascii="Times New Roman" w:hAnsi="Times New Roman"/>
          <w:sz w:val="28"/>
          <w:szCs w:val="28"/>
          <w:lang w:val="uk-UA" w:eastAsia="uk-UA"/>
        </w:rPr>
        <w:t>на оптовому ринку електроенергії</w:t>
      </w:r>
      <w:bookmarkStart w:id="3" w:name="_Hlk20751438"/>
      <w:r w:rsidR="00724804">
        <w:rPr>
          <w:rFonts w:ascii="Times New Roman" w:hAnsi="Times New Roman"/>
          <w:sz w:val="28"/>
          <w:szCs w:val="28"/>
          <w:lang w:val="uk-UA" w:eastAsia="uk-UA"/>
        </w:rPr>
        <w:t xml:space="preserve">, а також </w:t>
      </w:r>
      <w:r w:rsidR="00724804">
        <w:rPr>
          <w:rFonts w:ascii="Times New Roman" w:hAnsi="Times New Roman"/>
          <w:sz w:val="28"/>
          <w:szCs w:val="28"/>
          <w:lang w:val="uk-UA"/>
        </w:rPr>
        <w:t>забезпечення умов для сталих розрахунків на новому ринку електричної енергії.</w:t>
      </w:r>
    </w:p>
    <w:bookmarkEnd w:id="3"/>
    <w:p w:rsidR="003054D4" w:rsidRPr="00914DA1" w:rsidRDefault="003054D4" w:rsidP="003808D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64514" w:rsidRPr="00914DA1" w:rsidRDefault="00764514" w:rsidP="00B92C55">
      <w:pPr>
        <w:numPr>
          <w:ilvl w:val="0"/>
          <w:numId w:val="2"/>
        </w:numPr>
        <w:tabs>
          <w:tab w:val="num" w:pos="1440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bookmarkStart w:id="4" w:name="_Hlk7081865"/>
      <w:r w:rsidRPr="00914DA1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Мета і шляхи її досягнення </w:t>
      </w:r>
    </w:p>
    <w:bookmarkEnd w:id="4"/>
    <w:p w:rsidR="003054D4" w:rsidRDefault="00C677AC" w:rsidP="002C359B">
      <w:pPr>
        <w:tabs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14DA1">
        <w:rPr>
          <w:rFonts w:ascii="Times New Roman" w:hAnsi="Times New Roman"/>
          <w:color w:val="000000"/>
          <w:sz w:val="28"/>
          <w:szCs w:val="28"/>
          <w:lang w:val="uk-UA" w:eastAsia="uk-UA"/>
        </w:rPr>
        <w:t>Метою закон</w:t>
      </w:r>
      <w:r w:rsidR="00D920B2" w:rsidRPr="00914DA1">
        <w:rPr>
          <w:rFonts w:ascii="Times New Roman" w:hAnsi="Times New Roman"/>
          <w:color w:val="000000"/>
          <w:sz w:val="28"/>
          <w:szCs w:val="28"/>
          <w:lang w:val="uk-UA" w:eastAsia="uk-UA"/>
        </w:rPr>
        <w:t>опроект</w:t>
      </w:r>
      <w:r w:rsidRPr="00914DA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у </w:t>
      </w:r>
      <w:r w:rsidR="00D920B2" w:rsidRPr="00914DA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є </w:t>
      </w:r>
      <w:r w:rsidR="00715140" w:rsidRPr="00914DA1">
        <w:rPr>
          <w:rFonts w:ascii="Times New Roman" w:hAnsi="Times New Roman"/>
          <w:color w:val="000000"/>
          <w:sz w:val="28"/>
          <w:szCs w:val="28"/>
          <w:lang w:val="uk-UA" w:eastAsia="uk-UA"/>
        </w:rPr>
        <w:t>с</w:t>
      </w:r>
      <w:r w:rsidR="00715140" w:rsidRPr="002B1F4A">
        <w:rPr>
          <w:rFonts w:ascii="Times New Roman" w:hAnsi="Times New Roman"/>
          <w:color w:val="000000"/>
          <w:sz w:val="28"/>
          <w:szCs w:val="28"/>
          <w:lang w:val="uk-UA" w:eastAsia="uk-UA"/>
        </w:rPr>
        <w:t>творен</w:t>
      </w:r>
      <w:r w:rsidR="00715140">
        <w:rPr>
          <w:rFonts w:ascii="Times New Roman" w:hAnsi="Times New Roman"/>
          <w:color w:val="000000"/>
          <w:sz w:val="28"/>
          <w:szCs w:val="28"/>
          <w:lang w:val="uk-UA" w:eastAsia="uk-UA"/>
        </w:rPr>
        <w:t>н</w:t>
      </w:r>
      <w:r w:rsidR="00715140" w:rsidRPr="002B1F4A">
        <w:rPr>
          <w:rFonts w:ascii="Times New Roman" w:hAnsi="Times New Roman"/>
          <w:color w:val="000000"/>
          <w:sz w:val="28"/>
          <w:szCs w:val="28"/>
          <w:lang w:val="uk-UA" w:eastAsia="uk-UA"/>
        </w:rPr>
        <w:t>я</w:t>
      </w:r>
      <w:r w:rsidR="00766C2B" w:rsidRPr="002B1F4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D13F5D" w:rsidRPr="002B1F4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 державному рівні </w:t>
      </w:r>
      <w:r w:rsidR="00766C2B" w:rsidRPr="002B1F4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належних умов для </w:t>
      </w:r>
      <w:r w:rsidR="00B45F64">
        <w:rPr>
          <w:rFonts w:ascii="Times New Roman" w:hAnsi="Times New Roman"/>
          <w:color w:val="000000"/>
          <w:sz w:val="28"/>
          <w:szCs w:val="28"/>
          <w:lang w:val="uk-UA" w:eastAsia="uk-UA"/>
        </w:rPr>
        <w:t>роботи в</w:t>
      </w:r>
      <w:r w:rsidR="00766C2B" w:rsidRPr="00914DA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нов</w:t>
      </w:r>
      <w:r w:rsidR="00B45F64">
        <w:rPr>
          <w:rFonts w:ascii="Times New Roman" w:hAnsi="Times New Roman"/>
          <w:color w:val="000000"/>
          <w:sz w:val="28"/>
          <w:szCs w:val="28"/>
          <w:lang w:val="uk-UA" w:eastAsia="uk-UA"/>
        </w:rPr>
        <w:t>ій</w:t>
      </w:r>
      <w:r w:rsidR="00766C2B" w:rsidRPr="00914DA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конкурентн</w:t>
      </w:r>
      <w:r w:rsidR="00B45F6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ій </w:t>
      </w:r>
      <w:r w:rsidR="00766C2B" w:rsidRPr="00914DA1">
        <w:rPr>
          <w:rFonts w:ascii="Times New Roman" w:hAnsi="Times New Roman"/>
          <w:color w:val="000000"/>
          <w:sz w:val="28"/>
          <w:szCs w:val="28"/>
          <w:lang w:val="uk-UA" w:eastAsia="uk-UA"/>
        </w:rPr>
        <w:t>моделі ринку електричної енергії в Україні,</w:t>
      </w:r>
      <w:r w:rsidR="00766C2B" w:rsidRPr="00914DA1">
        <w:rPr>
          <w:rFonts w:ascii="Times New Roman" w:hAnsi="Times New Roman"/>
          <w:sz w:val="28"/>
          <w:szCs w:val="28"/>
          <w:lang w:val="uk-UA" w:eastAsia="uk-UA"/>
        </w:rPr>
        <w:t xml:space="preserve"> у строки визначені Законом України «Про ринок електричної енергії», шляхом </w:t>
      </w:r>
      <w:r w:rsidR="00D17BC7" w:rsidRPr="00914DA1">
        <w:rPr>
          <w:rFonts w:ascii="Times New Roman" w:hAnsi="Times New Roman"/>
          <w:sz w:val="28"/>
          <w:szCs w:val="28"/>
          <w:lang w:val="uk-UA"/>
        </w:rPr>
        <w:t>забезпеч</w:t>
      </w:r>
      <w:r w:rsidR="00766C2B" w:rsidRPr="00914DA1">
        <w:rPr>
          <w:rFonts w:ascii="Times New Roman" w:hAnsi="Times New Roman"/>
          <w:sz w:val="28"/>
          <w:szCs w:val="28"/>
          <w:lang w:val="uk-UA"/>
        </w:rPr>
        <w:t>ення</w:t>
      </w:r>
      <w:r w:rsidR="00D17BC7" w:rsidRPr="00914DA1">
        <w:rPr>
          <w:rFonts w:ascii="Times New Roman" w:hAnsi="Times New Roman"/>
          <w:sz w:val="28"/>
          <w:szCs w:val="28"/>
          <w:lang w:val="uk-UA"/>
        </w:rPr>
        <w:t xml:space="preserve"> своєчасної реалізації всіх механізмів погашення заборгованості на ОРЕ, визначених </w:t>
      </w:r>
      <w:r w:rsidR="002B1F4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D17BC7" w:rsidRPr="00914DA1">
        <w:rPr>
          <w:rFonts w:ascii="Times New Roman" w:hAnsi="Times New Roman"/>
          <w:sz w:val="28"/>
          <w:szCs w:val="28"/>
          <w:lang w:val="uk-UA"/>
        </w:rPr>
        <w:t>законопроекті</w:t>
      </w:r>
      <w:r w:rsidR="003054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54D4" w:rsidRPr="008720E2">
        <w:rPr>
          <w:rFonts w:ascii="Times New Roman" w:hAnsi="Times New Roman"/>
          <w:sz w:val="28"/>
          <w:szCs w:val="28"/>
          <w:lang w:val="uk-UA"/>
        </w:rPr>
        <w:t>«Про заходи, спрямовані на погашення заборгованості,</w:t>
      </w:r>
      <w:r w:rsidR="003054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54D4" w:rsidRPr="008720E2">
        <w:rPr>
          <w:rFonts w:ascii="Times New Roman" w:hAnsi="Times New Roman"/>
          <w:sz w:val="28"/>
          <w:szCs w:val="28"/>
          <w:lang w:val="uk-UA"/>
        </w:rPr>
        <w:t>що утворилася на оптовому ринку електричної енергії</w:t>
      </w:r>
      <w:r w:rsidR="002B1F4A">
        <w:rPr>
          <w:rFonts w:ascii="Times New Roman" w:hAnsi="Times New Roman"/>
          <w:sz w:val="28"/>
          <w:szCs w:val="28"/>
          <w:lang w:val="uk-UA"/>
        </w:rPr>
        <w:t>»,</w:t>
      </w:r>
      <w:r w:rsidR="003054D4" w:rsidRPr="003054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54D4" w:rsidRPr="00914DA1">
        <w:rPr>
          <w:rFonts w:ascii="Times New Roman" w:hAnsi="Times New Roman"/>
          <w:sz w:val="28"/>
          <w:szCs w:val="28"/>
          <w:lang w:val="uk-UA"/>
        </w:rPr>
        <w:t xml:space="preserve">які спрямовані на </w:t>
      </w:r>
      <w:r w:rsidR="003054D4">
        <w:rPr>
          <w:rFonts w:ascii="Times New Roman" w:hAnsi="Times New Roman"/>
          <w:sz w:val="28"/>
          <w:szCs w:val="28"/>
          <w:lang w:val="uk-UA"/>
        </w:rPr>
        <w:t xml:space="preserve">повне погашення заборгованості </w:t>
      </w:r>
      <w:r w:rsidR="003054D4" w:rsidRPr="00914DA1">
        <w:rPr>
          <w:rFonts w:ascii="Times New Roman" w:hAnsi="Times New Roman"/>
          <w:sz w:val="28"/>
          <w:szCs w:val="28"/>
          <w:lang w:val="uk-UA" w:eastAsia="uk-UA"/>
        </w:rPr>
        <w:t>на оптовому ринку електроенергії</w:t>
      </w:r>
      <w:r w:rsidR="00724804">
        <w:rPr>
          <w:rFonts w:ascii="Times New Roman" w:hAnsi="Times New Roman"/>
          <w:sz w:val="28"/>
          <w:szCs w:val="28"/>
          <w:lang w:val="uk-UA" w:eastAsia="uk-UA"/>
        </w:rPr>
        <w:t xml:space="preserve">, а також </w:t>
      </w:r>
      <w:r w:rsidR="00724804">
        <w:rPr>
          <w:rFonts w:ascii="Times New Roman" w:hAnsi="Times New Roman"/>
          <w:sz w:val="28"/>
          <w:szCs w:val="28"/>
          <w:lang w:val="uk-UA"/>
        </w:rPr>
        <w:t>забезпечення умов для сталих розрахунків на новому ринку електричної енергії.</w:t>
      </w:r>
    </w:p>
    <w:p w:rsidR="003054D4" w:rsidRDefault="003054D4" w:rsidP="003054D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64514" w:rsidRPr="001949C7" w:rsidRDefault="001949C7" w:rsidP="001949C7">
      <w:pPr>
        <w:pStyle w:val="a3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764514" w:rsidRPr="001949C7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Правові аспекти </w:t>
      </w:r>
    </w:p>
    <w:p w:rsidR="00C677AC" w:rsidRDefault="00764514" w:rsidP="002F421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14DA1">
        <w:rPr>
          <w:rFonts w:ascii="Times New Roman" w:hAnsi="Times New Roman"/>
          <w:sz w:val="28"/>
          <w:szCs w:val="28"/>
          <w:lang w:val="uk-UA" w:eastAsia="ru-RU"/>
        </w:rPr>
        <w:t>У даній сфері правового регулювання діють такі нормативно-правові акти:</w:t>
      </w:r>
      <w:r w:rsidR="00C677AC" w:rsidRPr="00914DA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46574" w:rsidRPr="00914DA1">
        <w:rPr>
          <w:rFonts w:ascii="Times New Roman" w:hAnsi="Times New Roman"/>
          <w:sz w:val="28"/>
          <w:szCs w:val="28"/>
          <w:lang w:val="uk-UA" w:eastAsia="ru-RU"/>
        </w:rPr>
        <w:t xml:space="preserve">Податкового кодексу України; </w:t>
      </w:r>
      <w:r w:rsidR="00C677AC" w:rsidRPr="00914DA1">
        <w:rPr>
          <w:rFonts w:ascii="Times New Roman" w:hAnsi="Times New Roman"/>
          <w:sz w:val="28"/>
          <w:szCs w:val="28"/>
          <w:lang w:val="uk-UA" w:eastAsia="ru-RU"/>
        </w:rPr>
        <w:t>Закон України «Про ринок електричної енергії»</w:t>
      </w:r>
      <w:r w:rsidR="000E3936" w:rsidRPr="00914DA1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3054D4" w:rsidRPr="002F4211" w:rsidRDefault="003054D4" w:rsidP="002F421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64514" w:rsidRPr="00914DA1" w:rsidRDefault="00764514" w:rsidP="00B92C55">
      <w:pPr>
        <w:numPr>
          <w:ilvl w:val="1"/>
          <w:numId w:val="1"/>
        </w:numPr>
        <w:tabs>
          <w:tab w:val="num" w:pos="540"/>
          <w:tab w:val="left" w:pos="1080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14DA1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Фінансово-економічне обґрунтування </w:t>
      </w:r>
    </w:p>
    <w:p w:rsidR="00681E7B" w:rsidRDefault="00C677AC" w:rsidP="00B92C5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14DA1">
        <w:rPr>
          <w:rFonts w:ascii="Times New Roman" w:hAnsi="Times New Roman"/>
          <w:sz w:val="28"/>
          <w:szCs w:val="28"/>
          <w:lang w:val="uk-UA" w:eastAsia="ru-RU"/>
        </w:rPr>
        <w:t>Реалізація проекту Закону не потребує додаткових матеріальних та інших витрат.</w:t>
      </w:r>
    </w:p>
    <w:p w:rsidR="002C359B" w:rsidRPr="00914DA1" w:rsidRDefault="002C359B" w:rsidP="00B92C5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3054D4" w:rsidRPr="00240BAD" w:rsidRDefault="001949C7" w:rsidP="003054D4">
      <w:pPr>
        <w:numPr>
          <w:ilvl w:val="1"/>
          <w:numId w:val="1"/>
        </w:numPr>
        <w:tabs>
          <w:tab w:val="clear" w:pos="1782"/>
          <w:tab w:val="left" w:pos="709"/>
          <w:tab w:val="left" w:pos="851"/>
        </w:tabs>
        <w:spacing w:after="160" w:line="259" w:lineRule="auto"/>
        <w:ind w:left="1560" w:hanging="931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  </w:t>
      </w:r>
      <w:r w:rsidR="003054D4" w:rsidRPr="00240BAD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Запобігання корупції </w:t>
      </w:r>
    </w:p>
    <w:p w:rsidR="003054D4" w:rsidRDefault="003054D4" w:rsidP="003054D4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40BAD">
        <w:rPr>
          <w:rFonts w:ascii="Times New Roman" w:hAnsi="Times New Roman"/>
          <w:bCs/>
          <w:sz w:val="28"/>
          <w:szCs w:val="28"/>
          <w:lang w:val="uk-UA" w:eastAsia="uk-UA"/>
        </w:rPr>
        <w:t xml:space="preserve">У законопроекті правила і процедури, які можуть містити ризики  вчинення </w:t>
      </w:r>
      <w:r w:rsidRPr="007C78CC">
        <w:rPr>
          <w:rFonts w:ascii="Times New Roman" w:hAnsi="Times New Roman"/>
          <w:sz w:val="28"/>
          <w:szCs w:val="28"/>
          <w:lang w:val="uk-UA" w:eastAsia="uk-UA"/>
        </w:rPr>
        <w:t>корупційних  правопорушень відсутні.</w:t>
      </w:r>
    </w:p>
    <w:p w:rsidR="002C359B" w:rsidRPr="007C78CC" w:rsidRDefault="002C359B" w:rsidP="003054D4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3054D4" w:rsidRPr="007C78CC" w:rsidRDefault="001949C7" w:rsidP="003054D4">
      <w:pPr>
        <w:keepNext/>
        <w:keepLines/>
        <w:numPr>
          <w:ilvl w:val="1"/>
          <w:numId w:val="1"/>
        </w:numPr>
        <w:tabs>
          <w:tab w:val="left" w:pos="851"/>
        </w:tabs>
        <w:spacing w:after="12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   </w:t>
      </w:r>
      <w:r w:rsidR="003054D4" w:rsidRPr="007C78CC">
        <w:rPr>
          <w:rFonts w:ascii="Times New Roman" w:hAnsi="Times New Roman"/>
          <w:b/>
          <w:bCs/>
          <w:sz w:val="28"/>
          <w:szCs w:val="28"/>
          <w:lang w:val="uk-UA" w:eastAsia="uk-UA"/>
        </w:rPr>
        <w:t>Громадське обговорення</w:t>
      </w:r>
    </w:p>
    <w:p w:rsidR="003054D4" w:rsidRDefault="003054D4" w:rsidP="003054D4">
      <w:pPr>
        <w:tabs>
          <w:tab w:val="num" w:pos="851"/>
        </w:tabs>
        <w:ind w:firstLine="700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7C78CC">
        <w:rPr>
          <w:rFonts w:ascii="Times New Roman" w:hAnsi="Times New Roman"/>
          <w:bCs/>
          <w:sz w:val="28"/>
          <w:szCs w:val="28"/>
          <w:lang w:val="uk-UA" w:eastAsia="uk-UA"/>
        </w:rPr>
        <w:t>Проект закону не потребує громадського обговорення.</w:t>
      </w:r>
    </w:p>
    <w:p w:rsidR="002C359B" w:rsidRPr="007C78CC" w:rsidRDefault="002C359B" w:rsidP="003054D4">
      <w:pPr>
        <w:tabs>
          <w:tab w:val="num" w:pos="851"/>
        </w:tabs>
        <w:ind w:firstLine="700"/>
        <w:rPr>
          <w:rFonts w:ascii="Times New Roman" w:hAnsi="Times New Roman"/>
          <w:bCs/>
          <w:sz w:val="28"/>
          <w:szCs w:val="28"/>
          <w:lang w:val="uk-UA" w:eastAsia="uk-UA"/>
        </w:rPr>
      </w:pPr>
    </w:p>
    <w:p w:rsidR="003054D4" w:rsidRPr="007C78CC" w:rsidRDefault="001949C7" w:rsidP="001949C7">
      <w:pPr>
        <w:keepNext/>
        <w:keepLines/>
        <w:numPr>
          <w:ilvl w:val="1"/>
          <w:numId w:val="1"/>
        </w:numPr>
        <w:tabs>
          <w:tab w:val="left" w:pos="851"/>
          <w:tab w:val="left" w:pos="1134"/>
        </w:tabs>
        <w:spacing w:after="12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lastRenderedPageBreak/>
        <w:t xml:space="preserve">    </w:t>
      </w:r>
      <w:r w:rsidR="003054D4" w:rsidRPr="007C78CC">
        <w:rPr>
          <w:rFonts w:ascii="Times New Roman" w:hAnsi="Times New Roman"/>
          <w:b/>
          <w:bCs/>
          <w:sz w:val="28"/>
          <w:szCs w:val="28"/>
          <w:lang w:val="uk-UA" w:eastAsia="uk-UA"/>
        </w:rPr>
        <w:t>Оцінка регуляторного впливу</w:t>
      </w:r>
    </w:p>
    <w:p w:rsidR="003054D4" w:rsidRDefault="003054D4" w:rsidP="003054D4">
      <w:pPr>
        <w:spacing w:after="12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7C78CC">
        <w:rPr>
          <w:rFonts w:ascii="Times New Roman" w:hAnsi="Times New Roman"/>
          <w:bCs/>
          <w:sz w:val="28"/>
          <w:szCs w:val="28"/>
          <w:lang w:val="uk-UA" w:eastAsia="uk-UA"/>
        </w:rPr>
        <w:t>Проект закону не є регуляторним актом.</w:t>
      </w:r>
    </w:p>
    <w:p w:rsidR="00715140" w:rsidRDefault="00715140" w:rsidP="003054D4">
      <w:pPr>
        <w:spacing w:after="12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</w:p>
    <w:p w:rsidR="003054D4" w:rsidRDefault="003054D4" w:rsidP="003054D4">
      <w:pPr>
        <w:pStyle w:val="3"/>
        <w:widowControl w:val="0"/>
        <w:numPr>
          <w:ilvl w:val="1"/>
          <w:numId w:val="1"/>
        </w:numPr>
        <w:tabs>
          <w:tab w:val="left" w:pos="426"/>
          <w:tab w:val="left" w:pos="851"/>
        </w:tabs>
        <w:ind w:left="567" w:firstLine="0"/>
        <w:jc w:val="both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Прогноз соціально-економічних та інших наслідків прийняття акту</w:t>
      </w:r>
    </w:p>
    <w:p w:rsidR="0096751B" w:rsidRPr="00914DA1" w:rsidRDefault="00C677AC" w:rsidP="0096751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5" w:name="n950"/>
      <w:bookmarkStart w:id="6" w:name="_Hlk20752962"/>
      <w:bookmarkEnd w:id="5"/>
      <w:r w:rsidRPr="00914DA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Реалізація </w:t>
      </w:r>
      <w:r w:rsidR="0096751B" w:rsidRPr="00914DA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положень цього </w:t>
      </w:r>
      <w:r w:rsidRPr="00914DA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Закону створить </w:t>
      </w:r>
      <w:r w:rsidR="0096751B" w:rsidRPr="00914DA1">
        <w:rPr>
          <w:rFonts w:ascii="Times New Roman" w:hAnsi="Times New Roman"/>
          <w:color w:val="000000"/>
          <w:sz w:val="28"/>
          <w:szCs w:val="28"/>
          <w:lang w:val="uk-UA" w:eastAsia="uk-UA"/>
        </w:rPr>
        <w:t>умови</w:t>
      </w:r>
      <w:r w:rsidRPr="00914DA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для погашення заборгованості, яка утворилась на оптовому ринку електричної енергії України</w:t>
      </w:r>
      <w:r w:rsidR="00A80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96751B" w:rsidRPr="00914DA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забезпечить можливість виконання вимог Закону України «Про ринок електричної енергії» </w:t>
      </w:r>
      <w:r w:rsidR="00A80A3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та </w:t>
      </w:r>
      <w:r w:rsidR="00A80A3F" w:rsidRPr="00914DA1">
        <w:rPr>
          <w:rFonts w:ascii="Times New Roman" w:hAnsi="Times New Roman"/>
          <w:sz w:val="28"/>
          <w:szCs w:val="28"/>
          <w:lang w:val="uk-UA"/>
        </w:rPr>
        <w:t>с</w:t>
      </w:r>
      <w:r w:rsidR="00A80A3F">
        <w:rPr>
          <w:rFonts w:ascii="Times New Roman" w:hAnsi="Times New Roman"/>
          <w:sz w:val="28"/>
          <w:szCs w:val="28"/>
          <w:lang w:val="uk-UA"/>
        </w:rPr>
        <w:t xml:space="preserve">творить умови для </w:t>
      </w:r>
      <w:r w:rsidR="00A80A3F" w:rsidRPr="00914DA1">
        <w:rPr>
          <w:rFonts w:ascii="Times New Roman" w:hAnsi="Times New Roman"/>
          <w:sz w:val="28"/>
          <w:szCs w:val="28"/>
          <w:lang w:val="uk-UA"/>
        </w:rPr>
        <w:t>забезпеченн</w:t>
      </w:r>
      <w:r w:rsidR="00A80A3F">
        <w:rPr>
          <w:rFonts w:ascii="Times New Roman" w:hAnsi="Times New Roman"/>
          <w:sz w:val="28"/>
          <w:szCs w:val="28"/>
          <w:lang w:val="uk-UA"/>
        </w:rPr>
        <w:t>я</w:t>
      </w:r>
      <w:r w:rsidR="00A80A3F" w:rsidRPr="00914DA1">
        <w:rPr>
          <w:rFonts w:ascii="Times New Roman" w:hAnsi="Times New Roman"/>
          <w:sz w:val="28"/>
          <w:szCs w:val="28"/>
          <w:lang w:val="uk-UA"/>
        </w:rPr>
        <w:t xml:space="preserve"> сталих розрахунків на ново</w:t>
      </w:r>
      <w:r w:rsidR="00A80A3F">
        <w:rPr>
          <w:rFonts w:ascii="Times New Roman" w:hAnsi="Times New Roman"/>
          <w:sz w:val="28"/>
          <w:szCs w:val="28"/>
          <w:lang w:val="uk-UA"/>
        </w:rPr>
        <w:t>му</w:t>
      </w:r>
      <w:r w:rsidR="00A80A3F" w:rsidRPr="00914DA1">
        <w:rPr>
          <w:rFonts w:ascii="Times New Roman" w:hAnsi="Times New Roman"/>
          <w:sz w:val="28"/>
          <w:szCs w:val="28"/>
          <w:lang w:val="uk-UA"/>
        </w:rPr>
        <w:t xml:space="preserve"> ринку електричної енергії</w:t>
      </w:r>
      <w:r w:rsidR="00715140">
        <w:rPr>
          <w:rFonts w:ascii="Times New Roman" w:hAnsi="Times New Roman"/>
          <w:sz w:val="28"/>
          <w:szCs w:val="28"/>
          <w:lang w:val="uk-UA"/>
        </w:rPr>
        <w:t>.</w:t>
      </w:r>
    </w:p>
    <w:bookmarkEnd w:id="6"/>
    <w:p w:rsidR="0096751B" w:rsidRPr="00914DA1" w:rsidRDefault="0096751B" w:rsidP="0096751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F4211" w:rsidRPr="00914DA1" w:rsidRDefault="007017B8" w:rsidP="007017B8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b/>
          <w:spacing w:val="-5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Народний депутат </w:t>
      </w:r>
      <w:proofErr w:type="spellStart"/>
      <w:r w:rsidRPr="00064193">
        <w:rPr>
          <w:rFonts w:ascii="Times New Roman" w:hAnsi="Times New Roman"/>
          <w:b/>
          <w:sz w:val="28"/>
          <w:szCs w:val="28"/>
        </w:rPr>
        <w:t>України</w:t>
      </w:r>
      <w:proofErr w:type="spellEnd"/>
      <w:r w:rsidR="00A5143B">
        <w:rPr>
          <w:rFonts w:ascii="Times New Roman" w:hAnsi="Times New Roman"/>
          <w:b/>
          <w:sz w:val="28"/>
          <w:szCs w:val="28"/>
        </w:rPr>
        <w:tab/>
      </w:r>
      <w:r w:rsidR="00A5143B">
        <w:rPr>
          <w:rFonts w:ascii="Times New Roman" w:hAnsi="Times New Roman"/>
          <w:b/>
          <w:sz w:val="28"/>
          <w:szCs w:val="28"/>
        </w:rPr>
        <w:tab/>
      </w:r>
      <w:r w:rsidR="00A5143B">
        <w:rPr>
          <w:rFonts w:ascii="Times New Roman" w:hAnsi="Times New Roman"/>
          <w:b/>
          <w:sz w:val="28"/>
          <w:szCs w:val="28"/>
        </w:rPr>
        <w:tab/>
      </w:r>
      <w:r w:rsidR="00A5143B">
        <w:rPr>
          <w:rFonts w:ascii="Times New Roman" w:hAnsi="Times New Roman"/>
          <w:b/>
          <w:sz w:val="28"/>
          <w:szCs w:val="28"/>
        </w:rPr>
        <w:tab/>
      </w:r>
      <w:r w:rsidR="00A5143B">
        <w:rPr>
          <w:rFonts w:ascii="Times New Roman" w:hAnsi="Times New Roman"/>
          <w:b/>
          <w:sz w:val="28"/>
          <w:szCs w:val="28"/>
        </w:rPr>
        <w:tab/>
      </w:r>
      <w:r w:rsidR="00A5143B">
        <w:rPr>
          <w:rFonts w:ascii="Times New Roman" w:hAnsi="Times New Roman"/>
          <w:b/>
          <w:sz w:val="28"/>
          <w:szCs w:val="28"/>
        </w:rPr>
        <w:tab/>
      </w:r>
      <w:bookmarkStart w:id="7" w:name="_GoBack"/>
      <w:bookmarkEnd w:id="7"/>
      <w:r w:rsidR="00A5143B">
        <w:rPr>
          <w:rFonts w:ascii="Times New Roman" w:hAnsi="Times New Roman"/>
          <w:b/>
          <w:bCs/>
          <w:sz w:val="28"/>
          <w:szCs w:val="28"/>
          <w:lang w:eastAsia="ru-RU"/>
        </w:rPr>
        <w:t>Камельчук Ю.О.</w:t>
      </w:r>
    </w:p>
    <w:sectPr w:rsidR="002F4211" w:rsidRPr="00914DA1" w:rsidSect="009675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E94" w:rsidRDefault="00813E94" w:rsidP="00CD074C">
      <w:pPr>
        <w:spacing w:after="0" w:line="240" w:lineRule="auto"/>
      </w:pPr>
      <w:r>
        <w:separator/>
      </w:r>
    </w:p>
  </w:endnote>
  <w:endnote w:type="continuationSeparator" w:id="0">
    <w:p w:rsidR="00813E94" w:rsidRDefault="00813E94" w:rsidP="00CD0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D6D" w:rsidRDefault="00F30D6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74C" w:rsidRPr="00F30D6D" w:rsidRDefault="00CD074C" w:rsidP="00F30D6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D6D" w:rsidRDefault="00F30D6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E94" w:rsidRDefault="00813E94" w:rsidP="00CD074C">
      <w:pPr>
        <w:spacing w:after="0" w:line="240" w:lineRule="auto"/>
      </w:pPr>
      <w:r>
        <w:separator/>
      </w:r>
    </w:p>
  </w:footnote>
  <w:footnote w:type="continuationSeparator" w:id="0">
    <w:p w:rsidR="00813E94" w:rsidRDefault="00813E94" w:rsidP="00CD0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132" w:rsidRPr="00F30D6D" w:rsidRDefault="00373132" w:rsidP="00F30D6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132" w:rsidRPr="00F30D6D" w:rsidRDefault="00373132" w:rsidP="00F30D6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D6D" w:rsidRDefault="00F30D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278E3195"/>
    <w:multiLevelType w:val="hybridMultilevel"/>
    <w:tmpl w:val="52DC399C"/>
    <w:lvl w:ilvl="0" w:tplc="E9E0B8C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C271D8C"/>
    <w:multiLevelType w:val="hybridMultilevel"/>
    <w:tmpl w:val="9C18F0C2"/>
    <w:lvl w:ilvl="0" w:tplc="E4FC2F7A">
      <w:start w:val="1"/>
      <w:numFmt w:val="decimal"/>
      <w:lvlText w:val="%1)"/>
      <w:lvlJc w:val="left"/>
      <w:pPr>
        <w:tabs>
          <w:tab w:val="num" w:pos="1062"/>
        </w:tabs>
        <w:ind w:left="1062" w:hanging="360"/>
      </w:pPr>
      <w:rPr>
        <w:rFonts w:cs="Times New Roman" w:hint="default"/>
      </w:rPr>
    </w:lvl>
    <w:lvl w:ilvl="1" w:tplc="756E67C8">
      <w:start w:val="4"/>
      <w:numFmt w:val="decimal"/>
      <w:lvlText w:val="%2."/>
      <w:lvlJc w:val="left"/>
      <w:pPr>
        <w:tabs>
          <w:tab w:val="num" w:pos="1782"/>
        </w:tabs>
        <w:ind w:left="1782" w:hanging="360"/>
      </w:pPr>
      <w:rPr>
        <w:rFonts w:cs="Times New Roman" w:hint="default"/>
      </w:rPr>
    </w:lvl>
    <w:lvl w:ilvl="2" w:tplc="E7C067B8">
      <w:start w:val="1"/>
      <w:numFmt w:val="decimal"/>
      <w:lvlText w:val="%3."/>
      <w:lvlJc w:val="left"/>
      <w:pPr>
        <w:tabs>
          <w:tab w:val="num" w:pos="2682"/>
        </w:tabs>
        <w:ind w:left="2682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  <w:rPr>
        <w:rFonts w:cs="Times New Roman"/>
      </w:rPr>
    </w:lvl>
  </w:abstractNum>
  <w:abstractNum w:abstractNumId="3">
    <w:nsid w:val="2ED31E51"/>
    <w:multiLevelType w:val="hybridMultilevel"/>
    <w:tmpl w:val="94B441A0"/>
    <w:lvl w:ilvl="0" w:tplc="E7C067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34521F5"/>
    <w:multiLevelType w:val="hybridMultilevel"/>
    <w:tmpl w:val="C93ED14C"/>
    <w:lvl w:ilvl="0" w:tplc="0422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">
    <w:nsid w:val="75C440CF"/>
    <w:multiLevelType w:val="hybridMultilevel"/>
    <w:tmpl w:val="9392AEDC"/>
    <w:lvl w:ilvl="0" w:tplc="FAE2347A">
      <w:start w:val="1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14"/>
    <w:rsid w:val="0000036A"/>
    <w:rsid w:val="00002D1C"/>
    <w:rsid w:val="00011A35"/>
    <w:rsid w:val="0001676B"/>
    <w:rsid w:val="00023382"/>
    <w:rsid w:val="00033E3A"/>
    <w:rsid w:val="00041354"/>
    <w:rsid w:val="00051C48"/>
    <w:rsid w:val="000548E7"/>
    <w:rsid w:val="00063F40"/>
    <w:rsid w:val="00064B71"/>
    <w:rsid w:val="000A0457"/>
    <w:rsid w:val="000C531E"/>
    <w:rsid w:val="000E3936"/>
    <w:rsid w:val="00100BFE"/>
    <w:rsid w:val="00121AD7"/>
    <w:rsid w:val="0012307C"/>
    <w:rsid w:val="00125A52"/>
    <w:rsid w:val="00132A27"/>
    <w:rsid w:val="00143445"/>
    <w:rsid w:val="001434B9"/>
    <w:rsid w:val="0014738A"/>
    <w:rsid w:val="001515B4"/>
    <w:rsid w:val="0015453C"/>
    <w:rsid w:val="001732E4"/>
    <w:rsid w:val="00173B61"/>
    <w:rsid w:val="001949C7"/>
    <w:rsid w:val="001A1851"/>
    <w:rsid w:val="001B3D71"/>
    <w:rsid w:val="001C6BA0"/>
    <w:rsid w:val="001E2242"/>
    <w:rsid w:val="0020508A"/>
    <w:rsid w:val="00213C03"/>
    <w:rsid w:val="00220A91"/>
    <w:rsid w:val="002327A4"/>
    <w:rsid w:val="002614F5"/>
    <w:rsid w:val="002805B5"/>
    <w:rsid w:val="00282C88"/>
    <w:rsid w:val="002B1F4A"/>
    <w:rsid w:val="002C2631"/>
    <w:rsid w:val="002C359B"/>
    <w:rsid w:val="002E1036"/>
    <w:rsid w:val="002E4DCC"/>
    <w:rsid w:val="002F4211"/>
    <w:rsid w:val="003003B1"/>
    <w:rsid w:val="003054D4"/>
    <w:rsid w:val="003241B4"/>
    <w:rsid w:val="00330EE3"/>
    <w:rsid w:val="00343AE7"/>
    <w:rsid w:val="003569E7"/>
    <w:rsid w:val="003653DE"/>
    <w:rsid w:val="0037058D"/>
    <w:rsid w:val="00373132"/>
    <w:rsid w:val="003808DA"/>
    <w:rsid w:val="0038512B"/>
    <w:rsid w:val="00390E4E"/>
    <w:rsid w:val="0039128A"/>
    <w:rsid w:val="003A4910"/>
    <w:rsid w:val="003B0BD2"/>
    <w:rsid w:val="003B3DF8"/>
    <w:rsid w:val="003C295C"/>
    <w:rsid w:val="003C2A8B"/>
    <w:rsid w:val="003C3F52"/>
    <w:rsid w:val="003F2618"/>
    <w:rsid w:val="003F676F"/>
    <w:rsid w:val="003F75D1"/>
    <w:rsid w:val="00411B28"/>
    <w:rsid w:val="00453E44"/>
    <w:rsid w:val="0045624D"/>
    <w:rsid w:val="00475D6C"/>
    <w:rsid w:val="00487F2E"/>
    <w:rsid w:val="00490519"/>
    <w:rsid w:val="00492A0E"/>
    <w:rsid w:val="00496ADF"/>
    <w:rsid w:val="004A5541"/>
    <w:rsid w:val="004C2544"/>
    <w:rsid w:val="004C3A13"/>
    <w:rsid w:val="004C40B9"/>
    <w:rsid w:val="004C62EA"/>
    <w:rsid w:val="004F33C4"/>
    <w:rsid w:val="00506D8A"/>
    <w:rsid w:val="005337BA"/>
    <w:rsid w:val="00535845"/>
    <w:rsid w:val="00546574"/>
    <w:rsid w:val="00567FC2"/>
    <w:rsid w:val="00580E0B"/>
    <w:rsid w:val="00580F0E"/>
    <w:rsid w:val="00586F15"/>
    <w:rsid w:val="00596570"/>
    <w:rsid w:val="005B0713"/>
    <w:rsid w:val="005B25E0"/>
    <w:rsid w:val="005C4BCC"/>
    <w:rsid w:val="00606BCB"/>
    <w:rsid w:val="00620C91"/>
    <w:rsid w:val="006737DE"/>
    <w:rsid w:val="00681E7B"/>
    <w:rsid w:val="0068777C"/>
    <w:rsid w:val="00687A86"/>
    <w:rsid w:val="006922B2"/>
    <w:rsid w:val="00694B7B"/>
    <w:rsid w:val="006A1703"/>
    <w:rsid w:val="006A6A1F"/>
    <w:rsid w:val="006B1CE8"/>
    <w:rsid w:val="006B4636"/>
    <w:rsid w:val="006E0679"/>
    <w:rsid w:val="006F34BC"/>
    <w:rsid w:val="007017B8"/>
    <w:rsid w:val="00701F3F"/>
    <w:rsid w:val="00707A1B"/>
    <w:rsid w:val="00710D4D"/>
    <w:rsid w:val="00715140"/>
    <w:rsid w:val="00724804"/>
    <w:rsid w:val="007308E0"/>
    <w:rsid w:val="007318B5"/>
    <w:rsid w:val="00734377"/>
    <w:rsid w:val="00735117"/>
    <w:rsid w:val="00741C5C"/>
    <w:rsid w:val="00746175"/>
    <w:rsid w:val="00746F6C"/>
    <w:rsid w:val="00764514"/>
    <w:rsid w:val="00766C2B"/>
    <w:rsid w:val="007758E3"/>
    <w:rsid w:val="007760D1"/>
    <w:rsid w:val="00791ADF"/>
    <w:rsid w:val="007B2758"/>
    <w:rsid w:val="007B46F6"/>
    <w:rsid w:val="007C5001"/>
    <w:rsid w:val="007F5639"/>
    <w:rsid w:val="00813E94"/>
    <w:rsid w:val="00825934"/>
    <w:rsid w:val="00842019"/>
    <w:rsid w:val="00851E50"/>
    <w:rsid w:val="008720E2"/>
    <w:rsid w:val="008B18ED"/>
    <w:rsid w:val="008B3083"/>
    <w:rsid w:val="008B3E16"/>
    <w:rsid w:val="008D2037"/>
    <w:rsid w:val="008D2563"/>
    <w:rsid w:val="00902D6F"/>
    <w:rsid w:val="00902E29"/>
    <w:rsid w:val="00911EDE"/>
    <w:rsid w:val="00914DA1"/>
    <w:rsid w:val="009207AE"/>
    <w:rsid w:val="0094675A"/>
    <w:rsid w:val="0096751B"/>
    <w:rsid w:val="00972FCF"/>
    <w:rsid w:val="00976192"/>
    <w:rsid w:val="00985597"/>
    <w:rsid w:val="009A0CAF"/>
    <w:rsid w:val="009A73DC"/>
    <w:rsid w:val="009D636D"/>
    <w:rsid w:val="00A12162"/>
    <w:rsid w:val="00A15E81"/>
    <w:rsid w:val="00A161DF"/>
    <w:rsid w:val="00A2605C"/>
    <w:rsid w:val="00A4791B"/>
    <w:rsid w:val="00A5143B"/>
    <w:rsid w:val="00A57C8B"/>
    <w:rsid w:val="00A63F46"/>
    <w:rsid w:val="00A6773B"/>
    <w:rsid w:val="00A80A3F"/>
    <w:rsid w:val="00A86074"/>
    <w:rsid w:val="00A94E9C"/>
    <w:rsid w:val="00AC1BC0"/>
    <w:rsid w:val="00AC2BFD"/>
    <w:rsid w:val="00AF4A7A"/>
    <w:rsid w:val="00AF571D"/>
    <w:rsid w:val="00B04E04"/>
    <w:rsid w:val="00B33372"/>
    <w:rsid w:val="00B42F3B"/>
    <w:rsid w:val="00B45F64"/>
    <w:rsid w:val="00B547E1"/>
    <w:rsid w:val="00B61F31"/>
    <w:rsid w:val="00B72474"/>
    <w:rsid w:val="00B77481"/>
    <w:rsid w:val="00B8297B"/>
    <w:rsid w:val="00B87A46"/>
    <w:rsid w:val="00B91379"/>
    <w:rsid w:val="00B92C55"/>
    <w:rsid w:val="00BB1A32"/>
    <w:rsid w:val="00BB690E"/>
    <w:rsid w:val="00C015D4"/>
    <w:rsid w:val="00C06B38"/>
    <w:rsid w:val="00C12B3F"/>
    <w:rsid w:val="00C677AC"/>
    <w:rsid w:val="00C862A5"/>
    <w:rsid w:val="00C90D7B"/>
    <w:rsid w:val="00C93A65"/>
    <w:rsid w:val="00C96AFB"/>
    <w:rsid w:val="00CA4D58"/>
    <w:rsid w:val="00CC297E"/>
    <w:rsid w:val="00CD074C"/>
    <w:rsid w:val="00CD6BA9"/>
    <w:rsid w:val="00CE0A8B"/>
    <w:rsid w:val="00CE61AB"/>
    <w:rsid w:val="00D076D9"/>
    <w:rsid w:val="00D13F5D"/>
    <w:rsid w:val="00D17BC7"/>
    <w:rsid w:val="00D2180C"/>
    <w:rsid w:val="00D3345A"/>
    <w:rsid w:val="00D6223D"/>
    <w:rsid w:val="00D73E0D"/>
    <w:rsid w:val="00D7681A"/>
    <w:rsid w:val="00D768EE"/>
    <w:rsid w:val="00D80AA6"/>
    <w:rsid w:val="00D872A6"/>
    <w:rsid w:val="00D909B7"/>
    <w:rsid w:val="00D920B2"/>
    <w:rsid w:val="00DB088A"/>
    <w:rsid w:val="00DB64E8"/>
    <w:rsid w:val="00DC016E"/>
    <w:rsid w:val="00DC567B"/>
    <w:rsid w:val="00DC758E"/>
    <w:rsid w:val="00DD6288"/>
    <w:rsid w:val="00DE7050"/>
    <w:rsid w:val="00E0477B"/>
    <w:rsid w:val="00E1377E"/>
    <w:rsid w:val="00E15282"/>
    <w:rsid w:val="00E21BDC"/>
    <w:rsid w:val="00E35557"/>
    <w:rsid w:val="00E36C20"/>
    <w:rsid w:val="00E45E9E"/>
    <w:rsid w:val="00E47945"/>
    <w:rsid w:val="00E57301"/>
    <w:rsid w:val="00E57D3E"/>
    <w:rsid w:val="00E65842"/>
    <w:rsid w:val="00E777D9"/>
    <w:rsid w:val="00E86F12"/>
    <w:rsid w:val="00E87641"/>
    <w:rsid w:val="00E878FC"/>
    <w:rsid w:val="00E94773"/>
    <w:rsid w:val="00ED1EEE"/>
    <w:rsid w:val="00EE11D5"/>
    <w:rsid w:val="00F133D2"/>
    <w:rsid w:val="00F172D2"/>
    <w:rsid w:val="00F21FEA"/>
    <w:rsid w:val="00F229D3"/>
    <w:rsid w:val="00F30D6D"/>
    <w:rsid w:val="00F31A10"/>
    <w:rsid w:val="00F6318D"/>
    <w:rsid w:val="00F636B1"/>
    <w:rsid w:val="00F70AF3"/>
    <w:rsid w:val="00F75448"/>
    <w:rsid w:val="00F8390B"/>
    <w:rsid w:val="00FA1B8C"/>
    <w:rsid w:val="00FA3CEA"/>
    <w:rsid w:val="00FA5597"/>
    <w:rsid w:val="00FB1B34"/>
    <w:rsid w:val="00FB73B1"/>
    <w:rsid w:val="00FC72E4"/>
    <w:rsid w:val="00FD10CC"/>
    <w:rsid w:val="00FD4119"/>
    <w:rsid w:val="00FE37DA"/>
    <w:rsid w:val="00FE7059"/>
    <w:rsid w:val="00FF0E25"/>
    <w:rsid w:val="00FF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FB"/>
    <w:rPr>
      <w:rFonts w:cs="Times New Roman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224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CD074C"/>
    <w:pPr>
      <w:tabs>
        <w:tab w:val="center" w:pos="4677"/>
        <w:tab w:val="right" w:pos="9355"/>
      </w:tabs>
    </w:pPr>
    <w:rPr>
      <w:lang w:val="uk-UA"/>
    </w:rPr>
  </w:style>
  <w:style w:type="character" w:customStyle="1" w:styleId="a5">
    <w:name w:val="Верхній колонтитул Знак"/>
    <w:basedOn w:val="a0"/>
    <w:link w:val="a4"/>
    <w:uiPriority w:val="99"/>
    <w:semiHidden/>
    <w:locked/>
    <w:rsid w:val="00CD074C"/>
    <w:rPr>
      <w:rFonts w:cs="Times New Roman"/>
      <w:sz w:val="22"/>
      <w:lang w:val="x-none" w:eastAsia="en-US"/>
    </w:rPr>
  </w:style>
  <w:style w:type="paragraph" w:customStyle="1" w:styleId="Default">
    <w:name w:val="Default"/>
    <w:uiPriority w:val="99"/>
    <w:rsid w:val="003653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rsid w:val="00CD074C"/>
    <w:pPr>
      <w:tabs>
        <w:tab w:val="center" w:pos="4677"/>
        <w:tab w:val="right" w:pos="9355"/>
      </w:tabs>
    </w:pPr>
    <w:rPr>
      <w:lang w:val="uk-UA"/>
    </w:rPr>
  </w:style>
  <w:style w:type="character" w:customStyle="1" w:styleId="a7">
    <w:name w:val="Нижній колонтитул Знак"/>
    <w:basedOn w:val="a0"/>
    <w:link w:val="a6"/>
    <w:uiPriority w:val="99"/>
    <w:locked/>
    <w:rsid w:val="00CD074C"/>
    <w:rPr>
      <w:rFonts w:cs="Times New Roman"/>
      <w:sz w:val="22"/>
      <w:lang w:val="x-none" w:eastAsia="en-US"/>
    </w:rPr>
  </w:style>
  <w:style w:type="paragraph" w:styleId="a8">
    <w:name w:val="Balloon Text"/>
    <w:basedOn w:val="a"/>
    <w:link w:val="a9"/>
    <w:uiPriority w:val="99"/>
    <w:semiHidden/>
    <w:rsid w:val="005B2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5B25E0"/>
    <w:rPr>
      <w:rFonts w:ascii="Tahoma" w:hAnsi="Tahoma" w:cs="Times New Roman"/>
      <w:sz w:val="16"/>
      <w:lang w:val="x-none" w:eastAsia="en-US"/>
    </w:rPr>
  </w:style>
  <w:style w:type="character" w:styleId="aa">
    <w:name w:val="page number"/>
    <w:basedOn w:val="a0"/>
    <w:uiPriority w:val="99"/>
    <w:rsid w:val="00373132"/>
    <w:rPr>
      <w:rFonts w:cs="Times New Roman"/>
    </w:rPr>
  </w:style>
  <w:style w:type="paragraph" w:styleId="ab">
    <w:name w:val="Normal (Web)"/>
    <w:basedOn w:val="a"/>
    <w:uiPriority w:val="99"/>
    <w:rsid w:val="00BB690E"/>
    <w:pPr>
      <w:spacing w:before="150" w:after="15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3054D4"/>
    <w:pPr>
      <w:spacing w:after="120" w:line="240" w:lineRule="auto"/>
      <w:ind w:left="283"/>
    </w:pPr>
    <w:rPr>
      <w:rFonts w:ascii="Times New Roman" w:hAnsi="Times New Roman"/>
      <w:sz w:val="16"/>
      <w:szCs w:val="16"/>
      <w:lang w:val="uk-UA" w:eastAsia="ru-RU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3054D4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93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3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3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3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3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3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3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3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3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3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301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93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93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3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93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3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3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3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3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3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3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2951</Words>
  <Characters>1683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2019-04-25T07:54:00Z</dcterms:created>
  <dcterms:modified xsi:type="dcterms:W3CDTF">2019-11-06T12:10:00Z</dcterms:modified>
</cp:coreProperties>
</file>