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DC" w:rsidRPr="004552ED" w:rsidRDefault="005E04DC" w:rsidP="000C6F82">
      <w:pPr>
        <w:pStyle w:val="a3"/>
        <w:ind w:left="284" w:firstLine="567"/>
        <w:jc w:val="center"/>
        <w:rPr>
          <w:b/>
          <w:sz w:val="28"/>
          <w:szCs w:val="28"/>
        </w:rPr>
      </w:pPr>
      <w:r w:rsidRPr="004552ED">
        <w:rPr>
          <w:b/>
          <w:sz w:val="28"/>
          <w:szCs w:val="28"/>
        </w:rPr>
        <w:t>ВИСНОВОК</w:t>
      </w:r>
    </w:p>
    <w:p w:rsidR="00B665FE" w:rsidRPr="004552ED" w:rsidRDefault="005E04DC" w:rsidP="000C6F82">
      <w:pPr>
        <w:pStyle w:val="a3"/>
        <w:ind w:left="284" w:firstLine="567"/>
        <w:jc w:val="center"/>
        <w:rPr>
          <w:b/>
          <w:sz w:val="28"/>
          <w:szCs w:val="28"/>
        </w:rPr>
      </w:pPr>
      <w:r w:rsidRPr="004552ED">
        <w:rPr>
          <w:b/>
          <w:sz w:val="28"/>
          <w:szCs w:val="28"/>
        </w:rPr>
        <w:t>про відповідність законопро</w:t>
      </w:r>
      <w:r w:rsidR="00ED16CE">
        <w:rPr>
          <w:b/>
          <w:sz w:val="28"/>
          <w:szCs w:val="28"/>
        </w:rPr>
        <w:t>є</w:t>
      </w:r>
      <w:r w:rsidRPr="004552ED">
        <w:rPr>
          <w:b/>
          <w:sz w:val="28"/>
          <w:szCs w:val="28"/>
        </w:rPr>
        <w:t xml:space="preserve">кту зобов'язанням України у сфері європейської інтеграції, у тому числі міжнародно-правовим, та праву Європейського Союзу (acquis ЄС) </w:t>
      </w:r>
    </w:p>
    <w:p w:rsidR="005E04DC" w:rsidRPr="004552ED" w:rsidRDefault="005E04DC" w:rsidP="000C6F82">
      <w:pPr>
        <w:pStyle w:val="a3"/>
        <w:ind w:left="284" w:firstLine="567"/>
        <w:jc w:val="center"/>
        <w:rPr>
          <w:sz w:val="28"/>
          <w:szCs w:val="28"/>
        </w:rPr>
      </w:pPr>
      <w:r w:rsidRPr="004552ED">
        <w:rPr>
          <w:sz w:val="28"/>
          <w:szCs w:val="28"/>
        </w:rPr>
        <w:t>до про</w:t>
      </w:r>
      <w:r w:rsidR="004552ED" w:rsidRPr="004552ED">
        <w:rPr>
          <w:sz w:val="28"/>
          <w:szCs w:val="28"/>
        </w:rPr>
        <w:t>є</w:t>
      </w:r>
      <w:r w:rsidRPr="004552ED">
        <w:rPr>
          <w:sz w:val="28"/>
          <w:szCs w:val="28"/>
        </w:rPr>
        <w:t>кту</w:t>
      </w:r>
      <w:r w:rsidR="00B665FE" w:rsidRPr="004552ED">
        <w:rPr>
          <w:sz w:val="28"/>
          <w:szCs w:val="28"/>
        </w:rPr>
        <w:t xml:space="preserve"> </w:t>
      </w:r>
      <w:r w:rsidR="00054CE2" w:rsidRPr="004552ED">
        <w:rPr>
          <w:sz w:val="28"/>
          <w:szCs w:val="28"/>
        </w:rPr>
        <w:t>Закону України «</w:t>
      </w:r>
      <w:r w:rsidR="00054CE2" w:rsidRPr="004552ED">
        <w:rPr>
          <w:bCs/>
          <w:sz w:val="28"/>
          <w:szCs w:val="28"/>
        </w:rPr>
        <w:t xml:space="preserve">Про </w:t>
      </w:r>
      <w:r w:rsidR="003219C5" w:rsidRPr="004552ED">
        <w:rPr>
          <w:bCs/>
          <w:sz w:val="28"/>
          <w:szCs w:val="28"/>
        </w:rPr>
        <w:t>захист прав споживачів</w:t>
      </w:r>
      <w:r w:rsidR="00054CE2" w:rsidRPr="004552ED">
        <w:rPr>
          <w:bCs/>
          <w:sz w:val="28"/>
          <w:szCs w:val="28"/>
        </w:rPr>
        <w:t>»</w:t>
      </w:r>
    </w:p>
    <w:p w:rsidR="005E04DC" w:rsidRPr="004552ED" w:rsidRDefault="005E04DC" w:rsidP="000C6F82">
      <w:pPr>
        <w:pStyle w:val="a3"/>
        <w:ind w:left="284" w:firstLine="567"/>
        <w:rPr>
          <w:sz w:val="28"/>
          <w:szCs w:val="28"/>
        </w:rPr>
      </w:pPr>
    </w:p>
    <w:p w:rsidR="003F400B" w:rsidRDefault="003F400B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 xml:space="preserve">Метою проєкту Закону є </w:t>
      </w:r>
      <w:r w:rsidRPr="003F400B">
        <w:rPr>
          <w:rFonts w:eastAsiaTheme="minorHAnsi"/>
          <w:color w:val="auto"/>
          <w:sz w:val="28"/>
          <w:szCs w:val="28"/>
          <w:lang w:eastAsia="en-US"/>
        </w:rPr>
        <w:t>суттєв</w:t>
      </w:r>
      <w:r>
        <w:rPr>
          <w:rFonts w:eastAsiaTheme="minorHAnsi"/>
          <w:color w:val="auto"/>
          <w:sz w:val="28"/>
          <w:szCs w:val="28"/>
          <w:lang w:eastAsia="en-US"/>
        </w:rPr>
        <w:t>ий</w:t>
      </w:r>
      <w:r w:rsidRPr="003F400B">
        <w:rPr>
          <w:rFonts w:eastAsiaTheme="minorHAnsi"/>
          <w:color w:val="auto"/>
          <w:sz w:val="28"/>
          <w:szCs w:val="28"/>
          <w:lang w:eastAsia="en-US"/>
        </w:rPr>
        <w:t xml:space="preserve"> перегляд положень чинного Закону України «Про захист прав споживачів» з метою забезпечення високого рівня захисту прав споживачів та досягнення сумісності між системами захисту прав споживачів України та ЄС відповідно до зобов’язань, взятих на себе Україною у рамках Угоди про асоціацію</w:t>
      </w:r>
      <w:r w:rsidR="005B4BFF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463760" w:rsidRPr="007117AD" w:rsidRDefault="00AB10AD" w:rsidP="000C6F82">
      <w:pPr>
        <w:pStyle w:val="a3"/>
        <w:ind w:left="284" w:firstLine="567"/>
        <w:rPr>
          <w:color w:val="auto"/>
          <w:sz w:val="28"/>
          <w:szCs w:val="28"/>
        </w:rPr>
      </w:pPr>
      <w:r w:rsidRPr="007117AD">
        <w:rPr>
          <w:rFonts w:eastAsiaTheme="minorHAnsi"/>
          <w:color w:val="auto"/>
          <w:sz w:val="28"/>
          <w:szCs w:val="28"/>
          <w:lang w:eastAsia="en-US"/>
        </w:rPr>
        <w:t>Про</w:t>
      </w:r>
      <w:r w:rsidR="0092098E" w:rsidRPr="007117AD">
        <w:rPr>
          <w:rFonts w:eastAsiaTheme="minorHAnsi"/>
          <w:color w:val="auto"/>
          <w:sz w:val="28"/>
          <w:szCs w:val="28"/>
          <w:lang w:eastAsia="en-US"/>
        </w:rPr>
        <w:t>є</w:t>
      </w:r>
      <w:r w:rsidRPr="007117AD">
        <w:rPr>
          <w:rFonts w:eastAsiaTheme="minorHAnsi"/>
          <w:color w:val="auto"/>
          <w:sz w:val="28"/>
          <w:szCs w:val="28"/>
          <w:lang w:eastAsia="en-US"/>
        </w:rPr>
        <w:t xml:space="preserve">кт Закону </w:t>
      </w:r>
      <w:r w:rsidR="00C05E62" w:rsidRPr="007117AD">
        <w:rPr>
          <w:rFonts w:eastAsiaTheme="minorHAnsi"/>
          <w:color w:val="auto"/>
          <w:sz w:val="28"/>
          <w:szCs w:val="28"/>
          <w:lang w:eastAsia="en-US"/>
        </w:rPr>
        <w:t>за предметом правового регулювання охоплюється</w:t>
      </w:r>
      <w:r w:rsidRPr="007117AD">
        <w:rPr>
          <w:rFonts w:eastAsiaTheme="minorHAnsi"/>
          <w:color w:val="auto"/>
          <w:sz w:val="28"/>
          <w:szCs w:val="28"/>
          <w:lang w:eastAsia="en-US"/>
        </w:rPr>
        <w:t xml:space="preserve"> зобов’язаннями України у сфері європейської</w:t>
      </w:r>
      <w:r w:rsidR="0092098E" w:rsidRPr="007117AD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7117AD">
        <w:rPr>
          <w:rFonts w:eastAsiaTheme="minorHAnsi"/>
          <w:color w:val="auto"/>
          <w:sz w:val="28"/>
          <w:szCs w:val="28"/>
          <w:lang w:eastAsia="en-US"/>
        </w:rPr>
        <w:t>інтеграції, пере</w:t>
      </w:r>
      <w:r w:rsidR="007117AD" w:rsidRPr="007117AD">
        <w:rPr>
          <w:rFonts w:eastAsiaTheme="minorHAnsi"/>
          <w:color w:val="auto"/>
          <w:sz w:val="28"/>
          <w:szCs w:val="28"/>
          <w:lang w:eastAsia="en-US"/>
        </w:rPr>
        <w:t xml:space="preserve">дбаченими у рамках </w:t>
      </w:r>
      <w:r w:rsidR="00E85818" w:rsidRPr="007117AD">
        <w:rPr>
          <w:rFonts w:eastAsiaTheme="minorHAnsi"/>
          <w:color w:val="auto"/>
          <w:sz w:val="28"/>
          <w:szCs w:val="28"/>
          <w:lang w:eastAsia="en-US" w:bidi="uk-UA"/>
        </w:rPr>
        <w:t xml:space="preserve">глави 20 «Захист прав споживачів» Розділу </w:t>
      </w:r>
      <w:r w:rsidR="00E85818" w:rsidRPr="004552ED">
        <w:rPr>
          <w:rFonts w:eastAsiaTheme="minorHAnsi"/>
          <w:color w:val="auto"/>
          <w:sz w:val="28"/>
          <w:szCs w:val="28"/>
          <w:lang w:val="ru-RU" w:eastAsia="en-US" w:bidi="uk-UA"/>
        </w:rPr>
        <w:t>V</w:t>
      </w:r>
      <w:r w:rsidR="00E85818" w:rsidRPr="007117AD">
        <w:rPr>
          <w:rFonts w:eastAsiaTheme="minorHAnsi"/>
          <w:color w:val="auto"/>
          <w:sz w:val="28"/>
          <w:szCs w:val="28"/>
          <w:lang w:eastAsia="en-US" w:bidi="uk-UA"/>
        </w:rPr>
        <w:t xml:space="preserve"> «Економічне та галузеве співробітництво»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 (далі – Угода про асоціацію)</w:t>
      </w:r>
      <w:r w:rsidR="007117AD" w:rsidRPr="007117AD">
        <w:rPr>
          <w:rFonts w:eastAsiaTheme="minorHAnsi"/>
          <w:color w:val="auto"/>
          <w:sz w:val="28"/>
          <w:szCs w:val="28"/>
          <w:lang w:eastAsia="en-US" w:bidi="uk-UA"/>
        </w:rPr>
        <w:t xml:space="preserve"> та </w:t>
      </w:r>
      <w:r w:rsidR="00936C26" w:rsidRPr="007117AD">
        <w:rPr>
          <w:rFonts w:eastAsiaTheme="minorHAnsi"/>
          <w:color w:val="auto"/>
          <w:sz w:val="28"/>
          <w:szCs w:val="28"/>
          <w:lang w:eastAsia="en-US" w:bidi="uk-UA"/>
        </w:rPr>
        <w:t xml:space="preserve">Додатка </w:t>
      </w:r>
      <w:r w:rsidR="00936C26" w:rsidRPr="004552ED">
        <w:rPr>
          <w:rFonts w:eastAsiaTheme="minorHAnsi"/>
          <w:color w:val="auto"/>
          <w:sz w:val="28"/>
          <w:szCs w:val="28"/>
          <w:lang w:val="ru-RU" w:eastAsia="en-US" w:bidi="uk-UA"/>
        </w:rPr>
        <w:t>XXX</w:t>
      </w:r>
      <w:r w:rsidR="00936C26" w:rsidRPr="007117AD">
        <w:rPr>
          <w:rFonts w:eastAsiaTheme="minorHAnsi"/>
          <w:color w:val="auto"/>
          <w:sz w:val="28"/>
          <w:szCs w:val="28"/>
          <w:lang w:eastAsia="en-US" w:bidi="uk-UA"/>
        </w:rPr>
        <w:t>ІХ до Угоди про асоціацію</w:t>
      </w:r>
      <w:r w:rsidR="00463760" w:rsidRPr="007117AD">
        <w:rPr>
          <w:color w:val="auto"/>
          <w:sz w:val="28"/>
          <w:szCs w:val="28"/>
        </w:rPr>
        <w:t>.</w:t>
      </w:r>
    </w:p>
    <w:p w:rsidR="00CD0F90" w:rsidRPr="004552ED" w:rsidRDefault="00CD0F90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val="ru-RU" w:eastAsia="en-US"/>
        </w:rPr>
      </w:pPr>
      <w:r w:rsidRPr="004552ED">
        <w:rPr>
          <w:rFonts w:eastAsiaTheme="minorHAnsi"/>
          <w:color w:val="auto"/>
          <w:sz w:val="28"/>
          <w:szCs w:val="28"/>
          <w:lang w:val="ru-RU" w:eastAsia="en-US"/>
        </w:rPr>
        <w:t>Про</w:t>
      </w:r>
      <w:r w:rsidR="00793199" w:rsidRPr="004552ED">
        <w:rPr>
          <w:rFonts w:eastAsiaTheme="minorHAnsi"/>
          <w:color w:val="auto"/>
          <w:sz w:val="28"/>
          <w:szCs w:val="28"/>
          <w:lang w:val="ru-RU" w:eastAsia="en-US"/>
        </w:rPr>
        <w:t>є</w:t>
      </w:r>
      <w:r w:rsidRPr="004552ED">
        <w:rPr>
          <w:rFonts w:eastAsiaTheme="minorHAnsi"/>
          <w:color w:val="auto"/>
          <w:sz w:val="28"/>
          <w:szCs w:val="28"/>
          <w:lang w:val="ru-RU" w:eastAsia="en-US"/>
        </w:rPr>
        <w:t>кт Закону за предметом правового регулювання належить до сфер</w:t>
      </w:r>
      <w:r w:rsidR="00FE4614">
        <w:rPr>
          <w:rFonts w:eastAsiaTheme="minorHAnsi"/>
          <w:color w:val="auto"/>
          <w:sz w:val="28"/>
          <w:szCs w:val="28"/>
          <w:lang w:val="ru-RU" w:eastAsia="en-US"/>
        </w:rPr>
        <w:t>и</w:t>
      </w:r>
      <w:r w:rsidRPr="004552ED">
        <w:rPr>
          <w:rFonts w:eastAsiaTheme="minorHAnsi"/>
          <w:color w:val="auto"/>
          <w:sz w:val="28"/>
          <w:szCs w:val="28"/>
          <w:lang w:val="ru-RU" w:eastAsia="en-US"/>
        </w:rPr>
        <w:t xml:space="preserve"> правовідносин, як</w:t>
      </w:r>
      <w:r w:rsidR="0073589C">
        <w:rPr>
          <w:rFonts w:eastAsiaTheme="minorHAnsi"/>
          <w:color w:val="auto"/>
          <w:sz w:val="28"/>
          <w:szCs w:val="28"/>
          <w:lang w:val="ru-RU" w:eastAsia="en-US"/>
        </w:rPr>
        <w:t>і</w:t>
      </w:r>
      <w:r w:rsidRPr="004552ED">
        <w:rPr>
          <w:rFonts w:eastAsiaTheme="minorHAnsi"/>
          <w:color w:val="auto"/>
          <w:sz w:val="28"/>
          <w:szCs w:val="28"/>
          <w:lang w:val="ru-RU" w:eastAsia="en-US"/>
        </w:rPr>
        <w:t xml:space="preserve"> регулюються правом Європейського Союзу (acquis ЄС), </w:t>
      </w:r>
      <w:r w:rsidR="00793199" w:rsidRPr="004552ED">
        <w:rPr>
          <w:rFonts w:eastAsiaTheme="minorHAnsi"/>
          <w:color w:val="auto"/>
          <w:sz w:val="28"/>
          <w:szCs w:val="28"/>
          <w:lang w:val="ru-RU" w:eastAsia="en-US"/>
        </w:rPr>
        <w:t>щодо яких Україна має</w:t>
      </w:r>
      <w:r w:rsidR="00793199" w:rsidRPr="004552ED">
        <w:rPr>
          <w:rFonts w:eastAsiaTheme="minorHAnsi"/>
          <w:color w:val="auto"/>
          <w:sz w:val="28"/>
          <w:szCs w:val="28"/>
          <w:lang w:eastAsia="en-US"/>
        </w:rPr>
        <w:t xml:space="preserve"> зобов</w:t>
      </w:r>
      <w:r w:rsidR="00793199" w:rsidRPr="004552ED">
        <w:rPr>
          <w:rFonts w:eastAsiaTheme="minorHAnsi"/>
          <w:color w:val="auto"/>
          <w:sz w:val="28"/>
          <w:szCs w:val="28"/>
          <w:lang w:val="ru-RU" w:eastAsia="en-US"/>
        </w:rPr>
        <w:t>’</w:t>
      </w:r>
      <w:r w:rsidR="00793199" w:rsidRPr="004552ED">
        <w:rPr>
          <w:rFonts w:eastAsiaTheme="minorHAnsi"/>
          <w:color w:val="auto"/>
          <w:sz w:val="28"/>
          <w:szCs w:val="28"/>
          <w:lang w:eastAsia="en-US"/>
        </w:rPr>
        <w:t>язання</w:t>
      </w:r>
      <w:r w:rsidR="00793199" w:rsidRPr="004552ED">
        <w:rPr>
          <w:rFonts w:eastAsiaTheme="minorHAnsi"/>
          <w:color w:val="auto"/>
          <w:sz w:val="28"/>
          <w:szCs w:val="28"/>
          <w:lang w:val="ru-RU" w:eastAsia="en-US"/>
        </w:rPr>
        <w:t xml:space="preserve"> у рамках </w:t>
      </w:r>
      <w:r w:rsidR="00463760" w:rsidRPr="00463760">
        <w:rPr>
          <w:rFonts w:eastAsiaTheme="minorHAnsi"/>
          <w:color w:val="auto"/>
          <w:sz w:val="28"/>
          <w:szCs w:val="28"/>
          <w:lang w:val="ru-RU" w:eastAsia="en-US"/>
        </w:rPr>
        <w:t>Додатк</w:t>
      </w:r>
      <w:r w:rsidR="00463760">
        <w:rPr>
          <w:rFonts w:eastAsiaTheme="minorHAnsi"/>
          <w:color w:val="auto"/>
          <w:sz w:val="28"/>
          <w:szCs w:val="28"/>
          <w:lang w:val="ru-RU" w:eastAsia="en-US"/>
        </w:rPr>
        <w:t>у</w:t>
      </w:r>
      <w:r w:rsidR="00463760" w:rsidRPr="00463760">
        <w:rPr>
          <w:rFonts w:eastAsiaTheme="minorHAnsi"/>
          <w:color w:val="auto"/>
          <w:sz w:val="28"/>
          <w:szCs w:val="28"/>
          <w:lang w:val="ru-RU" w:eastAsia="en-US"/>
        </w:rPr>
        <w:t xml:space="preserve"> XXXІХ до Угоди про асоціац</w:t>
      </w:r>
      <w:bookmarkStart w:id="0" w:name="_GoBack"/>
      <w:bookmarkEnd w:id="0"/>
      <w:r w:rsidR="00463760" w:rsidRPr="00463760">
        <w:rPr>
          <w:rFonts w:eastAsiaTheme="minorHAnsi"/>
          <w:color w:val="auto"/>
          <w:sz w:val="28"/>
          <w:szCs w:val="28"/>
          <w:lang w:val="ru-RU" w:eastAsia="en-US"/>
        </w:rPr>
        <w:t>ію</w:t>
      </w:r>
      <w:r w:rsidR="00793199" w:rsidRPr="004552ED">
        <w:rPr>
          <w:rFonts w:eastAsiaTheme="minorHAnsi"/>
          <w:color w:val="auto"/>
          <w:sz w:val="28"/>
          <w:szCs w:val="28"/>
          <w:lang w:val="ru-RU" w:eastAsia="en-US"/>
        </w:rPr>
        <w:t xml:space="preserve">, </w:t>
      </w:r>
      <w:r w:rsidRPr="004552ED">
        <w:rPr>
          <w:rFonts w:eastAsiaTheme="minorHAnsi"/>
          <w:color w:val="auto"/>
          <w:sz w:val="28"/>
          <w:szCs w:val="28"/>
          <w:lang w:val="ru-RU" w:eastAsia="en-US"/>
        </w:rPr>
        <w:t>а саме:</w:t>
      </w:r>
    </w:p>
    <w:p w:rsidR="00E85818" w:rsidRPr="00EA60FD" w:rsidRDefault="00E85818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 xml:space="preserve">Директивою 98/6/ЄС Європейського Парламенту та Ради від 16 лютого </w:t>
      </w:r>
      <w:r w:rsidR="00463760" w:rsidRPr="00EA60FD">
        <w:rPr>
          <w:sz w:val="28"/>
          <w:szCs w:val="28"/>
          <w:lang w:val="uk-UA" w:bidi="uk-UA"/>
        </w:rPr>
        <w:t xml:space="preserve">     </w:t>
      </w:r>
      <w:r w:rsidRPr="00EA60FD">
        <w:rPr>
          <w:sz w:val="28"/>
          <w:szCs w:val="28"/>
          <w:lang w:bidi="uk-UA"/>
        </w:rPr>
        <w:t>1998 року про захист споживачів при зазначенні цін на товари, що пропонуються споживачам</w:t>
      </w:r>
      <w:r w:rsidR="00421921">
        <w:rPr>
          <w:sz w:val="28"/>
          <w:szCs w:val="28"/>
          <w:lang w:val="uk-UA" w:bidi="uk-UA"/>
        </w:rPr>
        <w:t xml:space="preserve"> (далі – Директива 98/6/ЄС)</w:t>
      </w:r>
      <w:r w:rsidRPr="00EA60FD">
        <w:rPr>
          <w:sz w:val="28"/>
          <w:szCs w:val="28"/>
          <w:lang w:bidi="uk-UA"/>
        </w:rPr>
        <w:t>;</w:t>
      </w:r>
    </w:p>
    <w:p w:rsidR="00E85818" w:rsidRPr="00EA60FD" w:rsidRDefault="00E85818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 xml:space="preserve">Директивою 2005/29/ЄС Європейського Парламенту та Ради від </w:t>
      </w:r>
      <w:r w:rsidR="00421921">
        <w:rPr>
          <w:sz w:val="28"/>
          <w:szCs w:val="28"/>
          <w:lang w:val="uk-UA" w:bidi="uk-UA"/>
        </w:rPr>
        <w:t>1</w:t>
      </w:r>
      <w:r w:rsidRPr="00EA60FD">
        <w:rPr>
          <w:sz w:val="28"/>
          <w:szCs w:val="28"/>
          <w:lang w:bidi="uk-UA"/>
        </w:rPr>
        <w:t>1 травня 2005 року про недобросовісні торгівельні методи підприємств до споживачів на внутрішньому ринку, що вносить зміни до Директиви Ради  84/450/ЄЕС, Директив 97/7/ЄС, 98/27/ЄС та 2002/65/ЄС Європейського Парламенту та Ради, а також до Регламенту 2006/2004/ЄС Європейського Парламенту та Ради</w:t>
      </w:r>
      <w:r w:rsidR="00421921">
        <w:rPr>
          <w:sz w:val="28"/>
          <w:szCs w:val="28"/>
          <w:lang w:val="uk-UA" w:bidi="uk-UA"/>
        </w:rPr>
        <w:t xml:space="preserve"> (далі – Директива 2005/29/ЄС)</w:t>
      </w:r>
      <w:r w:rsidRPr="00EA60FD">
        <w:rPr>
          <w:sz w:val="28"/>
          <w:szCs w:val="28"/>
          <w:lang w:bidi="uk-UA"/>
        </w:rPr>
        <w:t>;</w:t>
      </w:r>
    </w:p>
    <w:p w:rsidR="00E85818" w:rsidRPr="00EA60FD" w:rsidRDefault="00E85818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 xml:space="preserve">Директивою 93/13/ЄС Європейського Парламенту та Ради від 5 квітня  </w:t>
      </w:r>
      <w:r w:rsidR="00463760" w:rsidRPr="00EA60FD">
        <w:rPr>
          <w:sz w:val="28"/>
          <w:szCs w:val="28"/>
          <w:lang w:val="uk-UA" w:bidi="uk-UA"/>
        </w:rPr>
        <w:t xml:space="preserve">      </w:t>
      </w:r>
      <w:r w:rsidRPr="00EA60FD">
        <w:rPr>
          <w:sz w:val="28"/>
          <w:szCs w:val="28"/>
          <w:lang w:bidi="uk-UA"/>
        </w:rPr>
        <w:t>1993 року про недобросовісні умови у споживчих контрактах</w:t>
      </w:r>
      <w:r w:rsidR="00421921">
        <w:rPr>
          <w:sz w:val="28"/>
          <w:szCs w:val="28"/>
          <w:lang w:val="uk-UA" w:bidi="uk-UA"/>
        </w:rPr>
        <w:t xml:space="preserve"> (далі – Директива 93/13/ЄС)</w:t>
      </w:r>
      <w:r w:rsidRPr="00EA60FD">
        <w:rPr>
          <w:sz w:val="28"/>
          <w:szCs w:val="28"/>
          <w:lang w:bidi="uk-UA"/>
        </w:rPr>
        <w:t>;</w:t>
      </w:r>
    </w:p>
    <w:p w:rsidR="00E85818" w:rsidRPr="00EA60FD" w:rsidRDefault="00E85818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>Директивою 2011/83/ЄС Європейського Парламенту та Ради від</w:t>
      </w:r>
      <w:r w:rsidR="00421921">
        <w:rPr>
          <w:sz w:val="28"/>
          <w:szCs w:val="28"/>
          <w:lang w:val="uk-UA" w:bidi="uk-UA"/>
        </w:rPr>
        <w:t xml:space="preserve">                </w:t>
      </w:r>
      <w:r w:rsidRPr="00EA60FD">
        <w:rPr>
          <w:sz w:val="28"/>
          <w:szCs w:val="28"/>
          <w:lang w:bidi="uk-UA"/>
        </w:rPr>
        <w:t xml:space="preserve"> </w:t>
      </w:r>
      <w:r w:rsidR="008266D9">
        <w:rPr>
          <w:sz w:val="28"/>
          <w:szCs w:val="28"/>
          <w:lang w:val="uk-UA" w:bidi="uk-UA"/>
        </w:rPr>
        <w:t>2</w:t>
      </w:r>
      <w:r w:rsidRPr="00EA60FD">
        <w:rPr>
          <w:sz w:val="28"/>
          <w:szCs w:val="28"/>
          <w:lang w:bidi="uk-UA"/>
        </w:rPr>
        <w:t>5 жовтня 2011 року про права споживачів, що вносить зміни до Директиви Ради 93/13/ЄЕС та Директиви 1999/44/ЄС Європейського Парламенту та Ради та скасовує Директиву Ради 85/577/ЄЕС та Директиву 97/7/ЄС Європейського Парламенту та Ради</w:t>
      </w:r>
      <w:r w:rsidR="00421921">
        <w:rPr>
          <w:sz w:val="28"/>
          <w:szCs w:val="28"/>
          <w:lang w:val="uk-UA" w:bidi="uk-UA"/>
        </w:rPr>
        <w:t xml:space="preserve"> (далі – Директива 2011/83/ЄС)</w:t>
      </w:r>
      <w:r w:rsidRPr="00EA60FD">
        <w:rPr>
          <w:sz w:val="28"/>
          <w:szCs w:val="28"/>
          <w:lang w:bidi="uk-UA"/>
        </w:rPr>
        <w:t>;</w:t>
      </w:r>
    </w:p>
    <w:p w:rsidR="00E85818" w:rsidRDefault="00E85818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 xml:space="preserve">Директивою 2019/771/ЄС Європейського Парламенту та Ради від </w:t>
      </w:r>
      <w:r w:rsidR="00421921">
        <w:rPr>
          <w:sz w:val="28"/>
          <w:szCs w:val="28"/>
          <w:lang w:val="uk-UA" w:bidi="uk-UA"/>
        </w:rPr>
        <w:t xml:space="preserve">              2</w:t>
      </w:r>
      <w:r w:rsidRPr="00EA60FD">
        <w:rPr>
          <w:sz w:val="28"/>
          <w:szCs w:val="28"/>
          <w:lang w:bidi="uk-UA"/>
        </w:rPr>
        <w:t xml:space="preserve">0 травня 2019 року про деякі аспекти, що стосуються договорів про продаж товарів, яка вносить зміни до Регламенту 2017/2394/ЄС та Директиви  2009/22/ЄС та скасовує Директиву 1999/44/ЄС. Директива 1999/44/ЄС застосовується до </w:t>
      </w:r>
      <w:r w:rsidR="000C6F82">
        <w:rPr>
          <w:sz w:val="28"/>
          <w:szCs w:val="28"/>
          <w:lang w:val="uk-UA" w:bidi="uk-UA"/>
        </w:rPr>
        <w:t xml:space="preserve"> </w:t>
      </w:r>
      <w:r w:rsidR="00CC2721">
        <w:rPr>
          <w:sz w:val="28"/>
          <w:szCs w:val="28"/>
          <w:lang w:val="uk-UA" w:bidi="uk-UA"/>
        </w:rPr>
        <w:t xml:space="preserve">            </w:t>
      </w:r>
      <w:r w:rsidRPr="00EA60FD">
        <w:rPr>
          <w:sz w:val="28"/>
          <w:szCs w:val="28"/>
          <w:lang w:bidi="uk-UA"/>
        </w:rPr>
        <w:lastRenderedPageBreak/>
        <w:t>1 січня 2022 року відповідно до Директиви 2019/771/ЄС</w:t>
      </w:r>
      <w:r w:rsidR="00421921">
        <w:rPr>
          <w:sz w:val="28"/>
          <w:szCs w:val="28"/>
          <w:lang w:val="uk-UA" w:bidi="uk-UA"/>
        </w:rPr>
        <w:t xml:space="preserve"> (далі – Директива 2019/771/ЄС)</w:t>
      </w:r>
      <w:r w:rsidRPr="00EA60FD">
        <w:rPr>
          <w:sz w:val="28"/>
          <w:szCs w:val="28"/>
          <w:lang w:bidi="uk-UA"/>
        </w:rPr>
        <w:t>;</w:t>
      </w:r>
    </w:p>
    <w:p w:rsidR="0023164F" w:rsidRPr="00EA60FD" w:rsidRDefault="0023164F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23164F">
        <w:rPr>
          <w:sz w:val="28"/>
          <w:szCs w:val="28"/>
          <w:lang w:val="uk-UA" w:bidi="uk-UA"/>
        </w:rPr>
        <w:t xml:space="preserve">Директивою 2009/22/ЄС Європейського Парламенту та Ради від </w:t>
      </w:r>
      <w:r w:rsidR="00421921">
        <w:rPr>
          <w:sz w:val="28"/>
          <w:szCs w:val="28"/>
          <w:lang w:val="uk-UA" w:bidi="uk-UA"/>
        </w:rPr>
        <w:t xml:space="preserve">                </w:t>
      </w:r>
      <w:r w:rsidRPr="0023164F">
        <w:rPr>
          <w:sz w:val="28"/>
          <w:szCs w:val="28"/>
          <w:lang w:val="uk-UA" w:bidi="uk-UA"/>
        </w:rPr>
        <w:t>23 квітня 2009 року про заборони, що встановлюються уповноваженими органами з метою припинення порушень у сфері захисту інтересів споживачів</w:t>
      </w:r>
      <w:r w:rsidR="00421921">
        <w:rPr>
          <w:sz w:val="28"/>
          <w:szCs w:val="28"/>
          <w:lang w:val="uk-UA" w:bidi="uk-UA"/>
        </w:rPr>
        <w:t xml:space="preserve"> (далі – Директива 2009/22/ЄС)</w:t>
      </w:r>
      <w:r w:rsidRPr="0023164F">
        <w:rPr>
          <w:sz w:val="28"/>
          <w:szCs w:val="28"/>
          <w:lang w:val="uk-UA" w:bidi="uk-UA"/>
        </w:rPr>
        <w:t>;</w:t>
      </w:r>
    </w:p>
    <w:p w:rsidR="001832FE" w:rsidRPr="00EA60FD" w:rsidRDefault="001832FE" w:rsidP="000C6F82">
      <w:pPr>
        <w:pStyle w:val="Default"/>
        <w:numPr>
          <w:ilvl w:val="0"/>
          <w:numId w:val="1"/>
        </w:numPr>
        <w:ind w:left="284" w:firstLine="567"/>
        <w:jc w:val="both"/>
        <w:rPr>
          <w:sz w:val="28"/>
          <w:szCs w:val="28"/>
          <w:lang w:bidi="uk-UA"/>
        </w:rPr>
      </w:pPr>
      <w:r w:rsidRPr="00EA60FD">
        <w:rPr>
          <w:sz w:val="28"/>
          <w:szCs w:val="28"/>
          <w:lang w:bidi="uk-UA"/>
        </w:rPr>
        <w:t>Регламентом 2017/2394/ЄС Європейського Парламенту та Ради від                12 грудня 2017 року про співробітництво між національними органами, відповідальними за виконання законів про захист прав споживачів та який скасовує Регламент 2006/2004/ЄС</w:t>
      </w:r>
      <w:r w:rsidR="00ED16CE">
        <w:rPr>
          <w:sz w:val="28"/>
          <w:szCs w:val="28"/>
          <w:lang w:val="uk-UA" w:bidi="uk-UA"/>
        </w:rPr>
        <w:t xml:space="preserve"> (далі – Регламент 201/2394/ЄС)</w:t>
      </w:r>
      <w:r w:rsidRPr="00EA60FD">
        <w:rPr>
          <w:sz w:val="28"/>
          <w:szCs w:val="28"/>
          <w:lang w:bidi="uk-UA"/>
        </w:rPr>
        <w:t>.</w:t>
      </w:r>
    </w:p>
    <w:p w:rsidR="00CD0F90" w:rsidRPr="004552ED" w:rsidRDefault="001D662D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val="ru-RU" w:eastAsia="en-US"/>
        </w:rPr>
      </w:pPr>
      <w:r>
        <w:rPr>
          <w:rFonts w:eastAsiaTheme="minorHAnsi"/>
          <w:color w:val="auto"/>
          <w:sz w:val="28"/>
          <w:szCs w:val="28"/>
          <w:lang w:val="ru-RU" w:eastAsia="en-US"/>
        </w:rPr>
        <w:t>Також предмет правового регулювання проєкту Закону охоплюється актами законодавства ЄС, імплементація яких не передбачена зобовязаннями України за Угодою про асоціацію</w:t>
      </w:r>
      <w:r w:rsidR="00CD0F90" w:rsidRPr="004552ED">
        <w:rPr>
          <w:rFonts w:eastAsiaTheme="minorHAnsi"/>
          <w:color w:val="auto"/>
          <w:sz w:val="28"/>
          <w:szCs w:val="28"/>
          <w:lang w:val="ru-RU" w:eastAsia="en-US"/>
        </w:rPr>
        <w:t>, а саме</w:t>
      </w:r>
      <w:r w:rsidR="00F718AA" w:rsidRPr="004552ED">
        <w:rPr>
          <w:rFonts w:eastAsiaTheme="minorHAnsi"/>
          <w:color w:val="auto"/>
          <w:sz w:val="28"/>
          <w:szCs w:val="28"/>
          <w:lang w:val="ru-RU" w:eastAsia="en-US"/>
        </w:rPr>
        <w:t>:</w:t>
      </w:r>
    </w:p>
    <w:p w:rsidR="00E85818" w:rsidRPr="00EA60FD" w:rsidRDefault="00C84D74" w:rsidP="000C6F82">
      <w:pPr>
        <w:pStyle w:val="a3"/>
        <w:ind w:left="284" w:firstLine="567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1) </w:t>
      </w:r>
      <w:r w:rsidR="00E85818" w:rsidRPr="00EA60FD">
        <w:rPr>
          <w:sz w:val="28"/>
          <w:szCs w:val="28"/>
          <w:lang w:bidi="uk-UA"/>
        </w:rPr>
        <w:t>Директивою 2013/11/ЄС Європейського Парламенту та Ради від 21 травня 2013 року про альтернативне вирішення споживчих спорів та про внесення змін до Регламенту 2006/2004/ЄС та Директиви 2009/22/ЄС</w:t>
      </w:r>
      <w:r w:rsidR="00ED16CE">
        <w:rPr>
          <w:sz w:val="28"/>
          <w:szCs w:val="28"/>
          <w:lang w:bidi="uk-UA"/>
        </w:rPr>
        <w:t xml:space="preserve"> (далі – Директива 2013/11/ЄС)</w:t>
      </w:r>
      <w:r w:rsidR="00E85818" w:rsidRPr="00EA60FD">
        <w:rPr>
          <w:sz w:val="28"/>
          <w:szCs w:val="28"/>
          <w:lang w:bidi="uk-UA"/>
        </w:rPr>
        <w:t>;</w:t>
      </w:r>
    </w:p>
    <w:p w:rsidR="00E85818" w:rsidRPr="004552ED" w:rsidRDefault="00C84D74" w:rsidP="000C6F82">
      <w:pPr>
        <w:pStyle w:val="a3"/>
        <w:ind w:left="284" w:firstLine="567"/>
        <w:rPr>
          <w:sz w:val="28"/>
          <w:szCs w:val="28"/>
          <w:lang w:bidi="uk-UA"/>
        </w:rPr>
      </w:pPr>
      <w:bookmarkStart w:id="1" w:name="_heading=h.gjdgxs" w:colFirst="0" w:colLast="0"/>
      <w:bookmarkEnd w:id="1"/>
      <w:r>
        <w:rPr>
          <w:sz w:val="28"/>
          <w:szCs w:val="28"/>
          <w:lang w:bidi="uk-UA"/>
        </w:rPr>
        <w:t xml:space="preserve">2) </w:t>
      </w:r>
      <w:r w:rsidR="00E85818" w:rsidRPr="004552ED">
        <w:rPr>
          <w:sz w:val="28"/>
          <w:szCs w:val="28"/>
          <w:lang w:bidi="uk-UA"/>
        </w:rPr>
        <w:t>Регламентом 524/2013/ЄС Європейського Парламенту та Ради від                   21 травня 2013 року про врегулювання спорів за участю споживачів в режимі онлайн та внесення змін до Регламенту 20</w:t>
      </w:r>
      <w:r w:rsidR="00EA60FD">
        <w:rPr>
          <w:sz w:val="28"/>
          <w:szCs w:val="28"/>
          <w:lang w:bidi="uk-UA"/>
        </w:rPr>
        <w:t>06/2004/ЄС та Директиви 2009/22</w:t>
      </w:r>
      <w:r w:rsidR="00E85818" w:rsidRPr="004552ED">
        <w:rPr>
          <w:sz w:val="28"/>
          <w:szCs w:val="28"/>
          <w:lang w:bidi="uk-UA"/>
        </w:rPr>
        <w:t>/ЄС</w:t>
      </w:r>
      <w:r w:rsidR="00ED16CE">
        <w:rPr>
          <w:sz w:val="28"/>
          <w:szCs w:val="28"/>
          <w:lang w:bidi="uk-UA"/>
        </w:rPr>
        <w:t xml:space="preserve"> (далі – Регламент 524/2013/ЄС)</w:t>
      </w:r>
      <w:r>
        <w:rPr>
          <w:sz w:val="28"/>
          <w:szCs w:val="28"/>
          <w:lang w:bidi="uk-UA"/>
        </w:rPr>
        <w:t>.</w:t>
      </w:r>
    </w:p>
    <w:p w:rsidR="00F718AA" w:rsidRPr="0062375B" w:rsidRDefault="00F718AA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eastAsia="en-US"/>
        </w:rPr>
      </w:pPr>
      <w:r w:rsidRPr="0062375B">
        <w:rPr>
          <w:rFonts w:eastAsiaTheme="minorHAnsi"/>
          <w:color w:val="auto"/>
          <w:sz w:val="28"/>
          <w:szCs w:val="28"/>
          <w:lang w:eastAsia="en-US"/>
        </w:rPr>
        <w:t>Про</w:t>
      </w:r>
      <w:r w:rsidR="00C84D74" w:rsidRPr="0062375B">
        <w:rPr>
          <w:rFonts w:eastAsiaTheme="minorHAnsi"/>
          <w:color w:val="auto"/>
          <w:sz w:val="28"/>
          <w:szCs w:val="28"/>
          <w:lang w:eastAsia="en-US"/>
        </w:rPr>
        <w:t>є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 xml:space="preserve">кт Закону розроблено </w:t>
      </w:r>
      <w:r w:rsidR="000F6C6A" w:rsidRPr="004552ED">
        <w:rPr>
          <w:rFonts w:eastAsiaTheme="minorHAnsi"/>
          <w:color w:val="auto"/>
          <w:sz w:val="28"/>
          <w:szCs w:val="28"/>
          <w:lang w:eastAsia="en-US"/>
        </w:rPr>
        <w:t>на виконання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 xml:space="preserve"> пунктів </w:t>
      </w:r>
      <w:r w:rsidR="00C5798C" w:rsidRPr="0062375B">
        <w:rPr>
          <w:rFonts w:eastAsiaTheme="minorHAnsi"/>
          <w:color w:val="auto"/>
          <w:sz w:val="28"/>
          <w:szCs w:val="28"/>
          <w:lang w:eastAsia="en-US"/>
        </w:rPr>
        <w:t>1303-1306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 xml:space="preserve"> Плану заходів з виконання Угоди про асоціацію</w:t>
      </w:r>
      <w:r w:rsidR="0062375B" w:rsidRPr="0062375B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62375B" w:rsidRPr="0062375B">
        <w:rPr>
          <w:bCs/>
          <w:sz w:val="28"/>
          <w:szCs w:val="28"/>
        </w:rPr>
        <w:t>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>, затвердженого постановою Кабінету Міністрів України від 25</w:t>
      </w:r>
      <w:r w:rsidR="009C7A92">
        <w:rPr>
          <w:rFonts w:eastAsiaTheme="minorHAnsi"/>
          <w:color w:val="auto"/>
          <w:sz w:val="28"/>
          <w:szCs w:val="28"/>
          <w:lang w:eastAsia="en-US"/>
        </w:rPr>
        <w:t xml:space="preserve"> жовтня 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>2017</w:t>
      </w:r>
      <w:r w:rsidR="009C7A92">
        <w:rPr>
          <w:rFonts w:eastAsiaTheme="minorHAnsi"/>
          <w:color w:val="auto"/>
          <w:sz w:val="28"/>
          <w:szCs w:val="28"/>
          <w:lang w:eastAsia="en-US"/>
        </w:rPr>
        <w:t xml:space="preserve"> р.</w:t>
      </w:r>
      <w:r w:rsidRPr="0062375B">
        <w:rPr>
          <w:rFonts w:eastAsiaTheme="minorHAnsi"/>
          <w:color w:val="auto"/>
          <w:sz w:val="28"/>
          <w:szCs w:val="28"/>
          <w:lang w:eastAsia="en-US"/>
        </w:rPr>
        <w:t xml:space="preserve"> № 1106</w:t>
      </w:r>
      <w:r w:rsidR="0062375B" w:rsidRPr="0062375B">
        <w:rPr>
          <w:rFonts w:eastAsiaTheme="minorHAnsi"/>
          <w:color w:val="auto"/>
          <w:sz w:val="28"/>
          <w:szCs w:val="28"/>
          <w:lang w:eastAsia="en-US"/>
        </w:rPr>
        <w:t>.</w:t>
      </w:r>
      <w:r w:rsidRPr="004552ED">
        <w:rPr>
          <w:b/>
          <w:sz w:val="28"/>
          <w:szCs w:val="28"/>
        </w:rPr>
        <w:t xml:space="preserve"> </w:t>
      </w:r>
      <w:r w:rsidR="0062375B">
        <w:rPr>
          <w:b/>
          <w:sz w:val="28"/>
          <w:szCs w:val="28"/>
        </w:rPr>
        <w:t xml:space="preserve"> </w:t>
      </w:r>
    </w:p>
    <w:p w:rsidR="005E04DC" w:rsidRPr="006C4A60" w:rsidRDefault="006C4A60" w:rsidP="000C6F82">
      <w:pPr>
        <w:pStyle w:val="a3"/>
        <w:ind w:left="284" w:firstLine="567"/>
        <w:rPr>
          <w:i/>
          <w:sz w:val="28"/>
          <w:szCs w:val="28"/>
        </w:rPr>
      </w:pPr>
      <w:r w:rsidRPr="006C4A60">
        <w:rPr>
          <w:sz w:val="28"/>
          <w:szCs w:val="28"/>
        </w:rPr>
        <w:t>Щодо</w:t>
      </w:r>
      <w:r w:rsidR="005E04DC" w:rsidRPr="006C4A60">
        <w:rPr>
          <w:sz w:val="28"/>
          <w:szCs w:val="28"/>
        </w:rPr>
        <w:t xml:space="preserve"> відповідності </w:t>
      </w:r>
      <w:r>
        <w:rPr>
          <w:sz w:val="28"/>
          <w:szCs w:val="28"/>
        </w:rPr>
        <w:t>проєкту Закону</w:t>
      </w:r>
      <w:r w:rsidR="005E04DC" w:rsidRPr="006C4A60">
        <w:rPr>
          <w:i/>
          <w:sz w:val="28"/>
          <w:szCs w:val="28"/>
        </w:rPr>
        <w:t xml:space="preserve"> </w:t>
      </w:r>
      <w:r w:rsidR="005E04DC" w:rsidRPr="006C4A60">
        <w:rPr>
          <w:sz w:val="28"/>
          <w:szCs w:val="28"/>
        </w:rPr>
        <w:t>меті (цілям)/принципам, положенням Угоди про асоціацію</w:t>
      </w:r>
      <w:r w:rsidRPr="006C4A60">
        <w:rPr>
          <w:sz w:val="28"/>
          <w:szCs w:val="28"/>
        </w:rPr>
        <w:t>, а також праву ЄС слід зазначити таке.</w:t>
      </w:r>
    </w:p>
    <w:p w:rsidR="005E04DC" w:rsidRPr="004552ED" w:rsidRDefault="00F718AA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eastAsia="en-US"/>
        </w:rPr>
      </w:pPr>
      <w:r w:rsidRPr="004552ED">
        <w:rPr>
          <w:rFonts w:eastAsiaTheme="minorHAnsi"/>
          <w:color w:val="auto"/>
          <w:sz w:val="28"/>
          <w:szCs w:val="28"/>
          <w:lang w:eastAsia="en-US"/>
        </w:rPr>
        <w:t>Про</w:t>
      </w:r>
      <w:r w:rsidR="00C84D74">
        <w:rPr>
          <w:rFonts w:eastAsiaTheme="minorHAnsi"/>
          <w:color w:val="auto"/>
          <w:sz w:val="28"/>
          <w:szCs w:val="28"/>
          <w:lang w:eastAsia="en-US"/>
        </w:rPr>
        <w:t>є</w:t>
      </w:r>
      <w:r w:rsidRPr="004552ED">
        <w:rPr>
          <w:rFonts w:eastAsiaTheme="minorHAnsi"/>
          <w:color w:val="auto"/>
          <w:sz w:val="28"/>
          <w:szCs w:val="28"/>
          <w:lang w:eastAsia="en-US"/>
        </w:rPr>
        <w:t xml:space="preserve">кт Закону відповідає </w:t>
      </w:r>
      <w:r w:rsidR="00FD5705" w:rsidRPr="00FD5705">
        <w:rPr>
          <w:rFonts w:eastAsiaTheme="minorHAnsi"/>
          <w:color w:val="auto"/>
          <w:sz w:val="28"/>
          <w:szCs w:val="28"/>
          <w:lang w:eastAsia="en-US"/>
        </w:rPr>
        <w:t>глав</w:t>
      </w:r>
      <w:r w:rsidR="00FD5705">
        <w:rPr>
          <w:rFonts w:eastAsiaTheme="minorHAnsi"/>
          <w:color w:val="auto"/>
          <w:sz w:val="28"/>
          <w:szCs w:val="28"/>
          <w:lang w:eastAsia="en-US"/>
        </w:rPr>
        <w:t>і</w:t>
      </w:r>
      <w:r w:rsidR="00FD5705" w:rsidRPr="00FD5705">
        <w:rPr>
          <w:rFonts w:eastAsiaTheme="minorHAnsi"/>
          <w:color w:val="auto"/>
          <w:sz w:val="28"/>
          <w:szCs w:val="28"/>
          <w:lang w:eastAsia="en-US"/>
        </w:rPr>
        <w:t xml:space="preserve"> 20 «Захист прав споживачів» Розділу </w:t>
      </w:r>
      <w:r w:rsidR="00FD5705" w:rsidRPr="00FD5705">
        <w:rPr>
          <w:rFonts w:eastAsiaTheme="minorHAnsi"/>
          <w:color w:val="auto"/>
          <w:sz w:val="28"/>
          <w:szCs w:val="28"/>
          <w:lang w:val="ru-RU" w:eastAsia="en-US"/>
        </w:rPr>
        <w:t>V</w:t>
      </w:r>
      <w:r w:rsidR="00FD5705" w:rsidRPr="00FD5705">
        <w:rPr>
          <w:rFonts w:eastAsiaTheme="minorHAnsi"/>
          <w:color w:val="auto"/>
          <w:sz w:val="28"/>
          <w:szCs w:val="28"/>
          <w:lang w:eastAsia="en-US"/>
        </w:rPr>
        <w:t xml:space="preserve"> «Економічне та галузеве співробітництво» Угоди про асоціацію</w:t>
      </w:r>
      <w:r w:rsidR="003F400B">
        <w:rPr>
          <w:rFonts w:eastAsiaTheme="minorHAnsi"/>
          <w:color w:val="auto"/>
          <w:sz w:val="28"/>
          <w:szCs w:val="28"/>
          <w:lang w:eastAsia="en-US"/>
        </w:rPr>
        <w:t xml:space="preserve">, </w:t>
      </w:r>
      <w:r w:rsidR="005B4BFF">
        <w:rPr>
          <w:rFonts w:eastAsiaTheme="minorHAnsi"/>
          <w:color w:val="auto"/>
          <w:sz w:val="28"/>
          <w:szCs w:val="28"/>
          <w:lang w:eastAsia="en-US"/>
        </w:rPr>
        <w:t xml:space="preserve">оскільки спрямований на </w:t>
      </w:r>
      <w:r w:rsidR="005B4BFF" w:rsidRPr="005B4BFF">
        <w:rPr>
          <w:rFonts w:eastAsiaTheme="minorHAnsi"/>
          <w:color w:val="auto"/>
          <w:sz w:val="28"/>
          <w:szCs w:val="28"/>
          <w:lang w:eastAsia="en-US"/>
        </w:rPr>
        <w:t>забезпечення високого рівня захисту прав споживачів та досягнення сумісності між системами захисту прав споживачів України та ЄС відповідно до зобов’язань, взятих на себе Україною у рамках Угоди про асоціацію</w:t>
      </w:r>
      <w:r w:rsidR="005B4BFF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5E04DC" w:rsidRDefault="00C02E19" w:rsidP="000C6F82">
      <w:pPr>
        <w:pStyle w:val="a3"/>
        <w:ind w:left="284" w:firstLine="567"/>
        <w:rPr>
          <w:sz w:val="28"/>
          <w:szCs w:val="28"/>
          <w:lang w:bidi="uk-UA"/>
        </w:rPr>
      </w:pPr>
      <w:r>
        <w:rPr>
          <w:sz w:val="28"/>
          <w:szCs w:val="28"/>
        </w:rPr>
        <w:t>Також пр</w:t>
      </w:r>
      <w:r w:rsidR="001F3B39">
        <w:rPr>
          <w:sz w:val="28"/>
          <w:szCs w:val="28"/>
        </w:rPr>
        <w:t xml:space="preserve">оєкт Закону в частині регулювання прав споживачів щодо придбання товару з недоліками та гарантійних зобов’язань на товар відповідає </w:t>
      </w:r>
      <w:r w:rsidR="001F3B39" w:rsidRPr="001F3B39">
        <w:rPr>
          <w:sz w:val="28"/>
          <w:szCs w:val="28"/>
          <w:lang w:bidi="uk-UA"/>
        </w:rPr>
        <w:t>Директив</w:t>
      </w:r>
      <w:r w:rsidR="001F3B39">
        <w:rPr>
          <w:sz w:val="28"/>
          <w:szCs w:val="28"/>
          <w:lang w:bidi="uk-UA"/>
        </w:rPr>
        <w:t>і</w:t>
      </w:r>
      <w:r w:rsidR="001F3B39" w:rsidRPr="001F3B39">
        <w:rPr>
          <w:sz w:val="28"/>
          <w:szCs w:val="28"/>
          <w:lang w:bidi="uk-UA"/>
        </w:rPr>
        <w:t xml:space="preserve"> 2019/771/ЄС</w:t>
      </w:r>
      <w:r w:rsidR="001F3B39">
        <w:rPr>
          <w:sz w:val="28"/>
          <w:szCs w:val="28"/>
          <w:lang w:bidi="uk-UA"/>
        </w:rPr>
        <w:t>.</w:t>
      </w:r>
    </w:p>
    <w:p w:rsidR="001F3B39" w:rsidRDefault="001F3B39" w:rsidP="000C6F82">
      <w:pPr>
        <w:pStyle w:val="a3"/>
        <w:ind w:left="284" w:firstLine="567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Про</w:t>
      </w:r>
      <w:r w:rsidR="008A186D">
        <w:rPr>
          <w:sz w:val="28"/>
          <w:szCs w:val="28"/>
          <w:lang w:bidi="uk-UA"/>
        </w:rPr>
        <w:t>є</w:t>
      </w:r>
      <w:r>
        <w:rPr>
          <w:sz w:val="28"/>
          <w:szCs w:val="28"/>
          <w:lang w:bidi="uk-UA"/>
        </w:rPr>
        <w:t xml:space="preserve">кт Закону в частині позначення ціни продукції відповідає </w:t>
      </w:r>
      <w:r w:rsidRPr="001F3B39">
        <w:rPr>
          <w:sz w:val="28"/>
          <w:szCs w:val="28"/>
          <w:lang w:bidi="uk-UA"/>
        </w:rPr>
        <w:t>Директив</w:t>
      </w:r>
      <w:r w:rsidR="00C02E19">
        <w:rPr>
          <w:sz w:val="28"/>
          <w:szCs w:val="28"/>
          <w:lang w:bidi="uk-UA"/>
        </w:rPr>
        <w:t>і</w:t>
      </w:r>
      <w:r w:rsidRPr="001F3B39">
        <w:rPr>
          <w:sz w:val="28"/>
          <w:szCs w:val="28"/>
          <w:lang w:bidi="uk-UA"/>
        </w:rPr>
        <w:t xml:space="preserve"> 98/6/ЄС</w:t>
      </w:r>
      <w:r>
        <w:rPr>
          <w:sz w:val="28"/>
          <w:szCs w:val="28"/>
          <w:lang w:bidi="uk-UA"/>
        </w:rPr>
        <w:t>.</w:t>
      </w:r>
    </w:p>
    <w:p w:rsidR="001F3B39" w:rsidRDefault="001F3B39" w:rsidP="000C6F82">
      <w:pPr>
        <w:pStyle w:val="a3"/>
        <w:ind w:left="284" w:firstLine="567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 xml:space="preserve">Проєкт Закону в частині права споживача на інформацію про продукцію  та переліку такої інформації відповідає </w:t>
      </w:r>
      <w:r w:rsidRPr="001F3B39">
        <w:rPr>
          <w:sz w:val="28"/>
          <w:szCs w:val="28"/>
          <w:lang w:bidi="uk-UA"/>
        </w:rPr>
        <w:t>Директив</w:t>
      </w:r>
      <w:r>
        <w:rPr>
          <w:sz w:val="28"/>
          <w:szCs w:val="28"/>
          <w:lang w:bidi="uk-UA"/>
        </w:rPr>
        <w:t>і</w:t>
      </w:r>
      <w:r w:rsidRPr="001F3B39">
        <w:rPr>
          <w:sz w:val="28"/>
          <w:szCs w:val="28"/>
          <w:lang w:bidi="uk-UA"/>
        </w:rPr>
        <w:t xml:space="preserve"> 2011/83/ЄС</w:t>
      </w:r>
      <w:r>
        <w:rPr>
          <w:sz w:val="28"/>
          <w:szCs w:val="28"/>
          <w:lang w:bidi="uk-UA"/>
        </w:rPr>
        <w:t>.</w:t>
      </w:r>
    </w:p>
    <w:p w:rsidR="001F3B39" w:rsidRDefault="001F3B39" w:rsidP="000C6F82">
      <w:pPr>
        <w:pStyle w:val="a3"/>
        <w:ind w:left="284" w:firstLine="567"/>
        <w:rPr>
          <w:sz w:val="28"/>
          <w:szCs w:val="28"/>
          <w:lang w:bidi="uk-UA"/>
        </w:rPr>
      </w:pPr>
      <w:r>
        <w:rPr>
          <w:sz w:val="28"/>
          <w:szCs w:val="28"/>
        </w:rPr>
        <w:t>Проєкт Закону в частині заборони нечесної комерційної практики, комерційної практики, що вводить в оману</w:t>
      </w:r>
      <w:r w:rsidR="000010D6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відповідає </w:t>
      </w:r>
      <w:r w:rsidRPr="001F3B39">
        <w:rPr>
          <w:sz w:val="28"/>
          <w:szCs w:val="28"/>
          <w:lang w:bidi="uk-UA"/>
        </w:rPr>
        <w:t>Директив</w:t>
      </w:r>
      <w:r>
        <w:rPr>
          <w:sz w:val="28"/>
          <w:szCs w:val="28"/>
          <w:lang w:bidi="uk-UA"/>
        </w:rPr>
        <w:t>і</w:t>
      </w:r>
      <w:r w:rsidRPr="001F3B39">
        <w:rPr>
          <w:sz w:val="28"/>
          <w:szCs w:val="28"/>
          <w:lang w:bidi="uk-UA"/>
        </w:rPr>
        <w:t xml:space="preserve"> 2005/29/ЄС</w:t>
      </w:r>
      <w:r>
        <w:rPr>
          <w:sz w:val="28"/>
          <w:szCs w:val="28"/>
          <w:lang w:bidi="uk-UA"/>
        </w:rPr>
        <w:t>.</w:t>
      </w:r>
    </w:p>
    <w:p w:rsidR="00140BA6" w:rsidRPr="00421921" w:rsidRDefault="00140BA6" w:rsidP="000C6F82">
      <w:pPr>
        <w:pStyle w:val="a3"/>
        <w:ind w:left="284" w:firstLine="567"/>
        <w:rPr>
          <w:sz w:val="28"/>
          <w:szCs w:val="28"/>
        </w:rPr>
      </w:pPr>
      <w:r>
        <w:rPr>
          <w:sz w:val="28"/>
          <w:szCs w:val="28"/>
          <w:lang w:bidi="uk-UA"/>
        </w:rPr>
        <w:t>Проєкт Закону в частині визначення умов</w:t>
      </w:r>
      <w:r w:rsidRPr="00140BA6">
        <w:rPr>
          <w:sz w:val="28"/>
          <w:szCs w:val="28"/>
          <w:lang w:bidi="uk-UA"/>
        </w:rPr>
        <w:t xml:space="preserve"> договору, які вважаються нікчемними</w:t>
      </w:r>
      <w:r w:rsidR="000010D6">
        <w:rPr>
          <w:sz w:val="28"/>
          <w:szCs w:val="28"/>
          <w:lang w:bidi="uk-UA"/>
        </w:rPr>
        <w:t>,</w:t>
      </w:r>
      <w:r>
        <w:rPr>
          <w:sz w:val="28"/>
          <w:szCs w:val="28"/>
          <w:lang w:bidi="uk-UA"/>
        </w:rPr>
        <w:t xml:space="preserve"> відповідає </w:t>
      </w:r>
      <w:r w:rsidRPr="00140BA6">
        <w:rPr>
          <w:sz w:val="28"/>
          <w:szCs w:val="28"/>
          <w:lang w:bidi="uk-UA"/>
        </w:rPr>
        <w:t>Директив</w:t>
      </w:r>
      <w:r>
        <w:rPr>
          <w:sz w:val="28"/>
          <w:szCs w:val="28"/>
          <w:lang w:bidi="uk-UA"/>
        </w:rPr>
        <w:t>і</w:t>
      </w:r>
      <w:r w:rsidRPr="00140BA6">
        <w:rPr>
          <w:sz w:val="28"/>
          <w:szCs w:val="28"/>
          <w:lang w:bidi="uk-UA"/>
        </w:rPr>
        <w:t xml:space="preserve"> 93/13/ЄС</w:t>
      </w:r>
      <w:r>
        <w:rPr>
          <w:sz w:val="28"/>
          <w:szCs w:val="28"/>
          <w:lang w:bidi="uk-UA"/>
        </w:rPr>
        <w:t>.</w:t>
      </w:r>
    </w:p>
    <w:p w:rsidR="00ED16CE" w:rsidRDefault="00ED16CE" w:rsidP="000C6F82">
      <w:pPr>
        <w:pStyle w:val="a3"/>
        <w:ind w:left="284" w:firstLine="567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lastRenderedPageBreak/>
        <w:t xml:space="preserve">Разом з тим, </w:t>
      </w:r>
      <w:r w:rsidR="001855F1">
        <w:rPr>
          <w:rFonts w:eastAsiaTheme="minorHAnsi"/>
          <w:color w:val="auto"/>
          <w:sz w:val="28"/>
          <w:szCs w:val="28"/>
          <w:lang w:eastAsia="en-US" w:bidi="uk-UA"/>
        </w:rPr>
        <w:t xml:space="preserve">пунктом 4 </w:t>
      </w:r>
      <w:r w:rsidR="001855F1" w:rsidRPr="00ED16CE">
        <w:rPr>
          <w:rFonts w:eastAsiaTheme="minorHAnsi"/>
          <w:color w:val="auto"/>
          <w:sz w:val="28"/>
          <w:szCs w:val="28"/>
          <w:lang w:eastAsia="en-US" w:bidi="uk-UA"/>
        </w:rPr>
        <w:t>Розділ</w:t>
      </w:r>
      <w:r w:rsidR="001855F1">
        <w:rPr>
          <w:rFonts w:eastAsiaTheme="minorHAnsi"/>
          <w:color w:val="auto"/>
          <w:sz w:val="28"/>
          <w:szCs w:val="28"/>
          <w:lang w:eastAsia="en-US" w:bidi="uk-UA"/>
        </w:rPr>
        <w:t>у</w:t>
      </w:r>
      <w:r w:rsidR="001855F1" w:rsidRPr="00ED16CE">
        <w:rPr>
          <w:rFonts w:eastAsiaTheme="minorHAnsi"/>
          <w:color w:val="auto"/>
          <w:sz w:val="28"/>
          <w:szCs w:val="28"/>
          <w:lang w:eastAsia="en-US" w:bidi="uk-UA"/>
        </w:rPr>
        <w:t xml:space="preserve"> IX</w:t>
      </w:r>
      <w:r w:rsidR="001855F1">
        <w:rPr>
          <w:rFonts w:eastAsiaTheme="minorHAnsi"/>
          <w:color w:val="auto"/>
          <w:sz w:val="28"/>
          <w:szCs w:val="28"/>
          <w:lang w:eastAsia="en-US" w:bidi="uk-UA"/>
        </w:rPr>
        <w:t xml:space="preserve"> «Прикінцевих положень» проєкту Закону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 xml:space="preserve"> Кабінету Міністрів України </w:t>
      </w:r>
      <w:r w:rsidR="006E2AD2">
        <w:rPr>
          <w:rFonts w:eastAsiaTheme="minorHAnsi"/>
          <w:color w:val="auto"/>
          <w:sz w:val="28"/>
          <w:szCs w:val="28"/>
          <w:lang w:eastAsia="en-US"/>
        </w:rPr>
        <w:t xml:space="preserve">доручено 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 xml:space="preserve">подати на розгляд Верховної Ради України </w:t>
      </w:r>
      <w:r w:rsidR="001855F1">
        <w:rPr>
          <w:rFonts w:eastAsiaTheme="minorHAnsi"/>
          <w:color w:val="auto"/>
          <w:sz w:val="28"/>
          <w:szCs w:val="28"/>
          <w:lang w:eastAsia="en-US" w:bidi="uk-UA"/>
        </w:rPr>
        <w:t xml:space="preserve">проєкт </w:t>
      </w:r>
      <w:r w:rsidR="001855F1" w:rsidRPr="00ED16CE">
        <w:rPr>
          <w:rFonts w:eastAsiaTheme="minorHAnsi"/>
          <w:color w:val="auto"/>
          <w:sz w:val="28"/>
          <w:szCs w:val="28"/>
          <w:lang w:eastAsia="en-US"/>
        </w:rPr>
        <w:t>закону про позасудове вирішення спорів між споживачем та суб’єктом господарювання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 xml:space="preserve">, що у свою чергу </w:t>
      </w:r>
      <w:r>
        <w:rPr>
          <w:rFonts w:eastAsiaTheme="minorHAnsi"/>
          <w:color w:val="auto"/>
          <w:sz w:val="28"/>
          <w:szCs w:val="28"/>
          <w:lang w:eastAsia="en-US"/>
        </w:rPr>
        <w:t>забезпеч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>ить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імплементаці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>ю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положень 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>Регламент</w:t>
      </w:r>
      <w:r>
        <w:rPr>
          <w:rFonts w:eastAsiaTheme="minorHAnsi"/>
          <w:color w:val="auto"/>
          <w:sz w:val="28"/>
          <w:szCs w:val="28"/>
          <w:lang w:eastAsia="en-US" w:bidi="uk-UA"/>
        </w:rPr>
        <w:t>у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 xml:space="preserve"> 201/2394/ЄС</w:t>
      </w:r>
      <w:r>
        <w:rPr>
          <w:rFonts w:eastAsiaTheme="minorHAnsi"/>
          <w:color w:val="auto"/>
          <w:sz w:val="28"/>
          <w:szCs w:val="28"/>
          <w:lang w:eastAsia="en-US" w:bidi="uk-UA"/>
        </w:rPr>
        <w:t xml:space="preserve">, 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>Директив</w:t>
      </w:r>
      <w:r>
        <w:rPr>
          <w:rFonts w:eastAsiaTheme="minorHAnsi"/>
          <w:color w:val="auto"/>
          <w:sz w:val="28"/>
          <w:szCs w:val="28"/>
          <w:lang w:eastAsia="en-US" w:bidi="uk-UA"/>
        </w:rPr>
        <w:t>и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 xml:space="preserve"> 2013/11/ЄС</w:t>
      </w:r>
      <w:r>
        <w:rPr>
          <w:rFonts w:eastAsiaTheme="minorHAnsi"/>
          <w:color w:val="auto"/>
          <w:sz w:val="28"/>
          <w:szCs w:val="28"/>
          <w:lang w:eastAsia="en-US" w:bidi="uk-UA"/>
        </w:rPr>
        <w:t xml:space="preserve"> та 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>Регламент</w:t>
      </w:r>
      <w:r>
        <w:rPr>
          <w:rFonts w:eastAsiaTheme="minorHAnsi"/>
          <w:color w:val="auto"/>
          <w:sz w:val="28"/>
          <w:szCs w:val="28"/>
          <w:lang w:eastAsia="en-US" w:bidi="uk-UA"/>
        </w:rPr>
        <w:t>у</w:t>
      </w:r>
      <w:r w:rsidRPr="00ED16CE">
        <w:rPr>
          <w:rFonts w:eastAsiaTheme="minorHAnsi"/>
          <w:color w:val="auto"/>
          <w:sz w:val="28"/>
          <w:szCs w:val="28"/>
          <w:lang w:eastAsia="en-US" w:bidi="uk-UA"/>
        </w:rPr>
        <w:t xml:space="preserve"> 524/2013/ЄС</w:t>
      </w:r>
      <w:r w:rsidR="001855F1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5E04DC" w:rsidRDefault="006C4A60" w:rsidP="000C6F82">
      <w:pPr>
        <w:pStyle w:val="a3"/>
        <w:ind w:left="284" w:firstLine="567"/>
        <w:rPr>
          <w:sz w:val="28"/>
          <w:szCs w:val="28"/>
        </w:rPr>
      </w:pPr>
      <w:r w:rsidRPr="006C4A60">
        <w:rPr>
          <w:sz w:val="28"/>
          <w:szCs w:val="28"/>
        </w:rPr>
        <w:t>Отже,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 про</w:t>
      </w:r>
      <w:r w:rsidR="004552ED">
        <w:rPr>
          <w:rFonts w:eastAsiaTheme="minorHAnsi"/>
          <w:color w:val="auto"/>
          <w:sz w:val="28"/>
          <w:szCs w:val="28"/>
          <w:lang w:eastAsia="en-US"/>
        </w:rPr>
        <w:t>є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кт </w:t>
      </w:r>
      <w:r w:rsidR="004552ED">
        <w:rPr>
          <w:rFonts w:eastAsiaTheme="minorHAnsi"/>
          <w:color w:val="auto"/>
          <w:sz w:val="28"/>
          <w:szCs w:val="28"/>
          <w:lang w:eastAsia="en-US"/>
        </w:rPr>
        <w:t>Закону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auto"/>
          <w:sz w:val="28"/>
          <w:szCs w:val="28"/>
          <w:lang w:eastAsia="en-US"/>
        </w:rPr>
        <w:t>відповіда</w:t>
      </w:r>
      <w:r w:rsidR="00F65157">
        <w:rPr>
          <w:rFonts w:eastAsiaTheme="minorHAnsi"/>
          <w:color w:val="auto"/>
          <w:sz w:val="28"/>
          <w:szCs w:val="28"/>
          <w:lang w:eastAsia="en-US"/>
        </w:rPr>
        <w:t>є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4552ED">
        <w:rPr>
          <w:rFonts w:eastAsiaTheme="minorHAnsi"/>
          <w:color w:val="auto"/>
          <w:sz w:val="28"/>
          <w:szCs w:val="28"/>
          <w:lang w:eastAsia="en-US"/>
        </w:rPr>
        <w:t xml:space="preserve">міжнародно-правовим зобов’язанням України у сфері європейської інтеграції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та 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>прав</w:t>
      </w:r>
      <w:r>
        <w:rPr>
          <w:rFonts w:eastAsiaTheme="minorHAnsi"/>
          <w:color w:val="auto"/>
          <w:sz w:val="28"/>
          <w:szCs w:val="28"/>
          <w:lang w:eastAsia="en-US"/>
        </w:rPr>
        <w:t>у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 Європейського</w:t>
      </w:r>
      <w:r w:rsidR="000F6C6A" w:rsidRPr="004552ED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>Союзу</w:t>
      </w:r>
      <w:r w:rsidR="00F65157">
        <w:rPr>
          <w:rFonts w:eastAsiaTheme="minorHAnsi"/>
          <w:color w:val="auto"/>
          <w:sz w:val="28"/>
          <w:szCs w:val="28"/>
          <w:lang w:eastAsia="en-US"/>
        </w:rPr>
        <w:t>.</w:t>
      </w:r>
      <w:r w:rsidR="00F718AA" w:rsidRPr="004552ED">
        <w:rPr>
          <w:rFonts w:eastAsiaTheme="minorHAnsi"/>
          <w:color w:val="auto"/>
          <w:sz w:val="28"/>
          <w:szCs w:val="28"/>
          <w:lang w:eastAsia="en-US"/>
        </w:rPr>
        <w:t xml:space="preserve"> </w:t>
      </w:r>
    </w:p>
    <w:p w:rsidR="00DB7197" w:rsidRDefault="00DB7197" w:rsidP="000C6F82">
      <w:pPr>
        <w:pStyle w:val="a3"/>
        <w:ind w:left="284" w:firstLine="567"/>
        <w:rPr>
          <w:sz w:val="28"/>
          <w:szCs w:val="28"/>
        </w:rPr>
      </w:pPr>
    </w:p>
    <w:p w:rsidR="00F65157" w:rsidRPr="004552ED" w:rsidRDefault="00F65157" w:rsidP="000C6F82">
      <w:pPr>
        <w:pStyle w:val="a3"/>
        <w:ind w:left="284" w:firstLine="567"/>
        <w:rPr>
          <w:sz w:val="28"/>
          <w:szCs w:val="28"/>
        </w:rPr>
      </w:pPr>
    </w:p>
    <w:p w:rsidR="005E04DC" w:rsidRPr="004552ED" w:rsidRDefault="005E04DC" w:rsidP="000C6F82">
      <w:pPr>
        <w:pStyle w:val="a3"/>
        <w:ind w:left="284" w:firstLine="0"/>
        <w:rPr>
          <w:b/>
          <w:sz w:val="28"/>
          <w:szCs w:val="28"/>
        </w:rPr>
      </w:pPr>
      <w:r w:rsidRPr="004552ED">
        <w:rPr>
          <w:b/>
          <w:sz w:val="28"/>
          <w:szCs w:val="28"/>
        </w:rPr>
        <w:t xml:space="preserve">Віце-прем’єр-міністр з питань європейської </w:t>
      </w:r>
    </w:p>
    <w:p w:rsidR="00BE6978" w:rsidRPr="0092098E" w:rsidRDefault="005E04DC" w:rsidP="000C6F82">
      <w:pPr>
        <w:pStyle w:val="a3"/>
        <w:ind w:left="284" w:firstLine="0"/>
      </w:pPr>
      <w:r w:rsidRPr="004552ED">
        <w:rPr>
          <w:b/>
          <w:sz w:val="28"/>
          <w:szCs w:val="28"/>
        </w:rPr>
        <w:t xml:space="preserve">та євроатлантичної інтеграції </w:t>
      </w:r>
      <w:r w:rsidR="000010D6">
        <w:rPr>
          <w:b/>
          <w:sz w:val="28"/>
          <w:szCs w:val="28"/>
        </w:rPr>
        <w:t xml:space="preserve">України </w:t>
      </w:r>
      <w:r w:rsidRPr="004552ED">
        <w:rPr>
          <w:b/>
          <w:sz w:val="28"/>
          <w:szCs w:val="28"/>
        </w:rPr>
        <w:tab/>
      </w:r>
      <w:r w:rsidR="008266D9">
        <w:rPr>
          <w:b/>
          <w:sz w:val="28"/>
          <w:szCs w:val="28"/>
        </w:rPr>
        <w:t xml:space="preserve">   </w:t>
      </w:r>
      <w:r w:rsidR="000C6F82">
        <w:rPr>
          <w:b/>
          <w:sz w:val="28"/>
          <w:szCs w:val="28"/>
        </w:rPr>
        <w:tab/>
        <w:t xml:space="preserve">    </w:t>
      </w:r>
      <w:r w:rsidR="008266D9">
        <w:rPr>
          <w:b/>
          <w:sz w:val="28"/>
          <w:szCs w:val="28"/>
        </w:rPr>
        <w:t xml:space="preserve">  </w:t>
      </w:r>
      <w:r w:rsidR="00375D0F">
        <w:rPr>
          <w:b/>
          <w:sz w:val="28"/>
          <w:szCs w:val="28"/>
        </w:rPr>
        <w:t xml:space="preserve"> </w:t>
      </w:r>
      <w:r w:rsidR="00F718AA" w:rsidRPr="004552ED">
        <w:rPr>
          <w:b/>
          <w:sz w:val="28"/>
          <w:szCs w:val="28"/>
        </w:rPr>
        <w:t>Ольга СТЕФАНІШИНА</w:t>
      </w:r>
    </w:p>
    <w:sectPr w:rsidR="00BE6978" w:rsidRPr="0092098E" w:rsidSect="00ED16CE">
      <w:footerReference w:type="even" r:id="rId7"/>
      <w:footerReference w:type="first" r:id="rId8"/>
      <w:pgSz w:w="11906" w:h="16838"/>
      <w:pgMar w:top="1135" w:right="785" w:bottom="1418" w:left="979" w:header="708" w:footer="708" w:gutter="0"/>
      <w:pgNumType w:start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DE" w:rsidRDefault="002049DE" w:rsidP="00C75B0A">
      <w:pPr>
        <w:spacing w:after="0" w:line="240" w:lineRule="auto"/>
      </w:pPr>
      <w:r>
        <w:separator/>
      </w:r>
    </w:p>
  </w:endnote>
  <w:endnote w:type="continuationSeparator" w:id="0">
    <w:p w:rsidR="002049DE" w:rsidRDefault="002049DE" w:rsidP="00C7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E8" w:rsidRDefault="00C75B0A">
    <w:pPr>
      <w:spacing w:after="0" w:line="259" w:lineRule="auto"/>
      <w:ind w:left="0" w:right="64" w:firstLine="0"/>
      <w:jc w:val="right"/>
    </w:pPr>
    <w:r>
      <w:fldChar w:fldCharType="begin"/>
    </w:r>
    <w:r w:rsidR="005E04DC">
      <w:instrText xml:space="preserve"> PAGE   \* MERGEFORMAT </w:instrText>
    </w:r>
    <w:r>
      <w:fldChar w:fldCharType="separate"/>
    </w:r>
    <w:r w:rsidR="005E04DC">
      <w:rPr>
        <w:rFonts w:ascii="Arial" w:eastAsia="Arial" w:hAnsi="Arial" w:cs="Arial"/>
        <w:sz w:val="22"/>
      </w:rPr>
      <w:t>2</w:t>
    </w:r>
    <w:r>
      <w:rPr>
        <w:rFonts w:ascii="Arial" w:eastAsia="Arial" w:hAnsi="Arial" w:cs="Arial"/>
        <w:sz w:val="22"/>
      </w:rPr>
      <w:fldChar w:fldCharType="end"/>
    </w:r>
    <w:r w:rsidR="005E04DC">
      <w:rPr>
        <w:rFonts w:ascii="Arial" w:eastAsia="Arial" w:hAnsi="Arial" w:cs="Arial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E8" w:rsidRPr="00B665FE" w:rsidRDefault="002049DE">
    <w:pPr>
      <w:spacing w:after="160" w:line="259" w:lineRule="auto"/>
      <w:ind w:left="0" w:firstLine="0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DE" w:rsidRDefault="002049DE" w:rsidP="00C75B0A">
      <w:pPr>
        <w:spacing w:after="0" w:line="240" w:lineRule="auto"/>
      </w:pPr>
      <w:r>
        <w:separator/>
      </w:r>
    </w:p>
  </w:footnote>
  <w:footnote w:type="continuationSeparator" w:id="0">
    <w:p w:rsidR="002049DE" w:rsidRDefault="002049DE" w:rsidP="00C7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F5436"/>
    <w:multiLevelType w:val="multilevel"/>
    <w:tmpl w:val="401A8026"/>
    <w:lvl w:ilvl="0">
      <w:start w:val="1"/>
      <w:numFmt w:val="decimal"/>
      <w:lvlText w:val="%1)"/>
      <w:lvlJc w:val="left"/>
      <w:pPr>
        <w:ind w:left="720" w:hanging="360"/>
      </w:pPr>
      <w:rPr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4DC"/>
    <w:rsid w:val="000010D6"/>
    <w:rsid w:val="00054CE2"/>
    <w:rsid w:val="000C6F82"/>
    <w:rsid w:val="000C73B2"/>
    <w:rsid w:val="000F6C6A"/>
    <w:rsid w:val="00105DB7"/>
    <w:rsid w:val="00140BA6"/>
    <w:rsid w:val="00173C12"/>
    <w:rsid w:val="001832FE"/>
    <w:rsid w:val="001855F1"/>
    <w:rsid w:val="001D662D"/>
    <w:rsid w:val="001F3B39"/>
    <w:rsid w:val="002049DE"/>
    <w:rsid w:val="0023164F"/>
    <w:rsid w:val="002F1363"/>
    <w:rsid w:val="003219C5"/>
    <w:rsid w:val="0032333E"/>
    <w:rsid w:val="00375D0F"/>
    <w:rsid w:val="003F400B"/>
    <w:rsid w:val="00421921"/>
    <w:rsid w:val="00434D20"/>
    <w:rsid w:val="004552ED"/>
    <w:rsid w:val="00463760"/>
    <w:rsid w:val="00464B26"/>
    <w:rsid w:val="004B40D8"/>
    <w:rsid w:val="004F5FB5"/>
    <w:rsid w:val="00564311"/>
    <w:rsid w:val="005B0A80"/>
    <w:rsid w:val="005B4BFF"/>
    <w:rsid w:val="005D1416"/>
    <w:rsid w:val="005E04DC"/>
    <w:rsid w:val="0062375B"/>
    <w:rsid w:val="00630345"/>
    <w:rsid w:val="00667684"/>
    <w:rsid w:val="006C4A60"/>
    <w:rsid w:val="006E2AD2"/>
    <w:rsid w:val="007117AD"/>
    <w:rsid w:val="0073589C"/>
    <w:rsid w:val="00793199"/>
    <w:rsid w:val="008266D9"/>
    <w:rsid w:val="008319A4"/>
    <w:rsid w:val="00874689"/>
    <w:rsid w:val="00884ABA"/>
    <w:rsid w:val="008A186D"/>
    <w:rsid w:val="008F0BF1"/>
    <w:rsid w:val="0092098E"/>
    <w:rsid w:val="00936C26"/>
    <w:rsid w:val="009C7A92"/>
    <w:rsid w:val="00AB10AD"/>
    <w:rsid w:val="00AF3744"/>
    <w:rsid w:val="00B665FE"/>
    <w:rsid w:val="00BC6A90"/>
    <w:rsid w:val="00C02E19"/>
    <w:rsid w:val="00C05E62"/>
    <w:rsid w:val="00C5798C"/>
    <w:rsid w:val="00C75B0A"/>
    <w:rsid w:val="00C84D74"/>
    <w:rsid w:val="00CC2721"/>
    <w:rsid w:val="00CD0F90"/>
    <w:rsid w:val="00CD493B"/>
    <w:rsid w:val="00DB7197"/>
    <w:rsid w:val="00DD127A"/>
    <w:rsid w:val="00E85818"/>
    <w:rsid w:val="00EA60FD"/>
    <w:rsid w:val="00ED16CE"/>
    <w:rsid w:val="00F65157"/>
    <w:rsid w:val="00F718AA"/>
    <w:rsid w:val="00FD5705"/>
    <w:rsid w:val="00FE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22E24"/>
  <w15:docId w15:val="{51218553-1275-4D91-9F46-AA8C8A0D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4DC"/>
    <w:pPr>
      <w:spacing w:after="25" w:line="305" w:lineRule="auto"/>
      <w:ind w:left="720" w:firstLine="698"/>
      <w:jc w:val="both"/>
    </w:pPr>
    <w:rPr>
      <w:rFonts w:ascii="Times New Roman" w:eastAsia="Times New Roman" w:hAnsi="Times New Roman" w:cs="Times New Roman"/>
      <w:color w:val="000000"/>
      <w:sz w:val="26"/>
      <w:lang w:eastAsia="uk-UA"/>
    </w:rPr>
  </w:style>
  <w:style w:type="paragraph" w:styleId="2">
    <w:name w:val="heading 2"/>
    <w:next w:val="a"/>
    <w:link w:val="20"/>
    <w:uiPriority w:val="9"/>
    <w:unhideWhenUsed/>
    <w:qFormat/>
    <w:rsid w:val="005E04DC"/>
    <w:pPr>
      <w:keepNext/>
      <w:keepLines/>
      <w:spacing w:after="72"/>
      <w:ind w:left="426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F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04DC"/>
    <w:rPr>
      <w:rFonts w:ascii="Times New Roman" w:eastAsia="Times New Roman" w:hAnsi="Times New Roman" w:cs="Times New Roman"/>
      <w:b/>
      <w:color w:val="000000"/>
      <w:sz w:val="26"/>
      <w:lang w:eastAsia="uk-UA"/>
    </w:rPr>
  </w:style>
  <w:style w:type="paragraph" w:customStyle="1" w:styleId="footnotedescription">
    <w:name w:val="footnote description"/>
    <w:next w:val="a"/>
    <w:link w:val="footnotedescriptionChar"/>
    <w:hidden/>
    <w:rsid w:val="005E04DC"/>
    <w:pPr>
      <w:spacing w:after="26"/>
      <w:ind w:left="720"/>
    </w:pPr>
    <w:rPr>
      <w:rFonts w:ascii="Arial" w:eastAsia="Arial" w:hAnsi="Arial" w:cs="Arial"/>
      <w:color w:val="000000"/>
      <w:lang w:eastAsia="uk-UA"/>
    </w:rPr>
  </w:style>
  <w:style w:type="character" w:customStyle="1" w:styleId="footnotedescriptionChar">
    <w:name w:val="footnote description Char"/>
    <w:link w:val="footnotedescription"/>
    <w:rsid w:val="005E04DC"/>
    <w:rPr>
      <w:rFonts w:ascii="Arial" w:eastAsia="Arial" w:hAnsi="Arial" w:cs="Arial"/>
      <w:color w:val="000000"/>
      <w:lang w:eastAsia="uk-UA"/>
    </w:rPr>
  </w:style>
  <w:style w:type="paragraph" w:styleId="a3">
    <w:name w:val="No Spacing"/>
    <w:uiPriority w:val="1"/>
    <w:qFormat/>
    <w:rsid w:val="00AB10AD"/>
    <w:pPr>
      <w:spacing w:after="0" w:line="240" w:lineRule="auto"/>
      <w:ind w:left="720" w:firstLine="698"/>
      <w:jc w:val="both"/>
    </w:pPr>
    <w:rPr>
      <w:rFonts w:ascii="Times New Roman" w:eastAsia="Times New Roman" w:hAnsi="Times New Roman" w:cs="Times New Roman"/>
      <w:color w:val="000000"/>
      <w:sz w:val="26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CD0F90"/>
    <w:rPr>
      <w:rFonts w:asciiTheme="majorHAnsi" w:eastAsiaTheme="majorEastAsia" w:hAnsiTheme="majorHAnsi" w:cstheme="majorBidi"/>
      <w:color w:val="1F4D78" w:themeColor="accent1" w:themeShade="7F"/>
      <w:sz w:val="26"/>
      <w:lang w:eastAsia="uk-UA"/>
    </w:rPr>
  </w:style>
  <w:style w:type="paragraph" w:customStyle="1" w:styleId="Default">
    <w:name w:val="Default"/>
    <w:rsid w:val="00CD0F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rvts23">
    <w:name w:val="rvts23"/>
    <w:basedOn w:val="a0"/>
    <w:rsid w:val="0032333E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B66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65FE"/>
    <w:rPr>
      <w:rFonts w:ascii="Times New Roman" w:eastAsia="Times New Roman" w:hAnsi="Times New Roman" w:cs="Times New Roman"/>
      <w:color w:val="000000"/>
      <w:sz w:val="26"/>
      <w:lang w:eastAsia="uk-UA"/>
    </w:rPr>
  </w:style>
  <w:style w:type="paragraph" w:styleId="a6">
    <w:name w:val="footer"/>
    <w:basedOn w:val="a"/>
    <w:link w:val="a7"/>
    <w:uiPriority w:val="99"/>
    <w:semiHidden/>
    <w:unhideWhenUsed/>
    <w:rsid w:val="000C6F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C6F82"/>
    <w:rPr>
      <w:rFonts w:ascii="Times New Roman" w:eastAsia="Times New Roman" w:hAnsi="Times New Roman" w:cs="Times New Roman"/>
      <w:color w:val="000000"/>
      <w:sz w:val="2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CD4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493B"/>
    <w:rPr>
      <w:rFonts w:ascii="Segoe UI" w:eastAsia="Times New Roman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3804</Words>
  <Characters>2169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НЕЛІНА Марина Григорівна</dc:creator>
  <cp:lastModifiedBy>СТЕЦЮК Іванна Михайлівна</cp:lastModifiedBy>
  <cp:revision>13</cp:revision>
  <cp:lastPrinted>2021-10-04T14:49:00Z</cp:lastPrinted>
  <dcterms:created xsi:type="dcterms:W3CDTF">2021-10-04T14:25:00Z</dcterms:created>
  <dcterms:modified xsi:type="dcterms:W3CDTF">2021-10-05T10:31:00Z</dcterms:modified>
</cp:coreProperties>
</file>