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AEB" w:rsidRPr="000C3CA9" w:rsidRDefault="00756AEB" w:rsidP="00756AEB">
      <w:pPr>
        <w:pStyle w:val="Ofisial"/>
        <w:jc w:val="right"/>
        <w:rPr>
          <w:rFonts w:ascii="Times New Roman" w:hAnsi="Times New Roman"/>
          <w:szCs w:val="28"/>
          <w:lang w:val="uk-UA"/>
        </w:rPr>
      </w:pPr>
      <w:bookmarkStart w:id="0" w:name="_GoBack"/>
      <w:bookmarkEnd w:id="0"/>
      <w:r w:rsidRPr="000C3CA9">
        <w:rPr>
          <w:rFonts w:ascii="Times New Roman" w:hAnsi="Times New Roman"/>
          <w:szCs w:val="28"/>
          <w:lang w:val="uk-UA"/>
        </w:rPr>
        <w:t>Додаток</w:t>
      </w:r>
      <w:r w:rsidRPr="00AF5C6E">
        <w:rPr>
          <w:rFonts w:ascii="Times New Roman" w:hAnsi="Times New Roman"/>
          <w:szCs w:val="28"/>
        </w:rPr>
        <w:t xml:space="preserve"> 2</w:t>
      </w:r>
      <w:r w:rsidRPr="000C3CA9">
        <w:rPr>
          <w:rFonts w:ascii="Times New Roman" w:hAnsi="Times New Roman"/>
          <w:szCs w:val="28"/>
          <w:lang w:val="uk-UA"/>
        </w:rPr>
        <w:tab/>
      </w:r>
      <w:r w:rsidRPr="000C3CA9">
        <w:rPr>
          <w:rFonts w:ascii="Times New Roman" w:hAnsi="Times New Roman"/>
          <w:szCs w:val="28"/>
          <w:lang w:val="uk-UA"/>
        </w:rPr>
        <w:tab/>
      </w:r>
    </w:p>
    <w:p w:rsidR="00756AEB" w:rsidRPr="000C3CA9" w:rsidRDefault="00756AEB" w:rsidP="00756AEB">
      <w:pPr>
        <w:pStyle w:val="Ofisial"/>
        <w:jc w:val="right"/>
        <w:rPr>
          <w:rFonts w:ascii="Times New Roman" w:hAnsi="Times New Roman"/>
          <w:iCs/>
          <w:szCs w:val="28"/>
          <w:lang w:val="uk-UA"/>
        </w:rPr>
      </w:pPr>
      <w:r w:rsidRPr="000C3CA9">
        <w:rPr>
          <w:rFonts w:ascii="Times New Roman" w:hAnsi="Times New Roman"/>
          <w:iCs/>
          <w:szCs w:val="28"/>
          <w:lang w:val="uk-UA"/>
        </w:rPr>
        <w:t xml:space="preserve">до Постанови Верховної Ради України </w:t>
      </w:r>
      <w:r w:rsidRPr="000C3CA9">
        <w:rPr>
          <w:rFonts w:ascii="Times New Roman" w:hAnsi="Times New Roman"/>
          <w:iCs/>
          <w:szCs w:val="28"/>
          <w:lang w:val="uk-UA"/>
        </w:rPr>
        <w:br/>
        <w:t xml:space="preserve">від "   " </w:t>
      </w:r>
      <w:r>
        <w:rPr>
          <w:rFonts w:ascii="Times New Roman" w:hAnsi="Times New Roman"/>
          <w:iCs/>
          <w:szCs w:val="28"/>
          <w:lang w:val="uk-UA"/>
        </w:rPr>
        <w:t>вересня</w:t>
      </w:r>
      <w:r w:rsidRPr="000C3CA9">
        <w:rPr>
          <w:rFonts w:ascii="Times New Roman" w:hAnsi="Times New Roman"/>
          <w:iCs/>
          <w:szCs w:val="28"/>
          <w:lang w:val="uk-UA"/>
        </w:rPr>
        <w:t xml:space="preserve"> 2021 року № _____</w:t>
      </w:r>
    </w:p>
    <w:p w:rsidR="00756AEB" w:rsidRPr="000C3CA9" w:rsidRDefault="00756AEB" w:rsidP="00756AEB">
      <w:pPr>
        <w:pStyle w:val="Ofisial"/>
        <w:jc w:val="right"/>
        <w:rPr>
          <w:rFonts w:ascii="Times New Roman" w:hAnsi="Times New Roman"/>
          <w:szCs w:val="28"/>
          <w:lang w:val="uk-UA"/>
        </w:rPr>
      </w:pPr>
    </w:p>
    <w:p w:rsidR="00756AEB" w:rsidRPr="000C3CA9" w:rsidRDefault="00756AEB" w:rsidP="00756AEB">
      <w:pPr>
        <w:pStyle w:val="Ofisial"/>
        <w:jc w:val="right"/>
        <w:rPr>
          <w:rFonts w:ascii="Times New Roman" w:hAnsi="Times New Roman"/>
          <w:szCs w:val="28"/>
        </w:rPr>
      </w:pPr>
    </w:p>
    <w:p w:rsidR="00756AEB" w:rsidRPr="000C3CA9" w:rsidRDefault="00756AEB" w:rsidP="00756AEB">
      <w:pPr>
        <w:pStyle w:val="Ofisial"/>
        <w:jc w:val="right"/>
        <w:rPr>
          <w:rFonts w:ascii="Times New Roman" w:hAnsi="Times New Roman"/>
          <w:szCs w:val="28"/>
          <w:lang w:val="uk-UA"/>
        </w:rPr>
      </w:pPr>
    </w:p>
    <w:p w:rsidR="00756AEB" w:rsidRDefault="00756AEB" w:rsidP="00756AEB">
      <w:pPr>
        <w:spacing w:after="0"/>
        <w:jc w:val="center"/>
        <w:rPr>
          <w:rFonts w:ascii="Times New Roman" w:hAnsi="Times New Roman"/>
          <w:sz w:val="28"/>
          <w:szCs w:val="28"/>
        </w:rPr>
      </w:pPr>
      <w:r w:rsidRPr="00756AEB">
        <w:rPr>
          <w:rFonts w:ascii="Times New Roman" w:hAnsi="Times New Roman"/>
          <w:sz w:val="28"/>
          <w:szCs w:val="28"/>
        </w:rPr>
        <w:t>Перелік законопроектів,</w:t>
      </w:r>
      <w:r w:rsidRPr="00756AEB">
        <w:rPr>
          <w:rFonts w:ascii="Times New Roman" w:hAnsi="Times New Roman"/>
          <w:sz w:val="28"/>
          <w:szCs w:val="28"/>
        </w:rPr>
        <w:br/>
        <w:t xml:space="preserve">які </w:t>
      </w:r>
      <w:r>
        <w:rPr>
          <w:rFonts w:ascii="Times New Roman" w:hAnsi="Times New Roman"/>
          <w:sz w:val="28"/>
          <w:szCs w:val="28"/>
        </w:rPr>
        <w:t>К</w:t>
      </w:r>
      <w:r w:rsidRPr="00756AEB">
        <w:rPr>
          <w:rFonts w:ascii="Times New Roman" w:hAnsi="Times New Roman"/>
          <w:sz w:val="28"/>
          <w:szCs w:val="28"/>
        </w:rPr>
        <w:t xml:space="preserve">омітет </w:t>
      </w:r>
      <w:r w:rsidRPr="00723B15">
        <w:rPr>
          <w:rFonts w:ascii="Proba Pro" w:hAnsi="Proba Pro" w:cs="Segoe UI"/>
          <w:sz w:val="28"/>
          <w:szCs w:val="28"/>
        </w:rPr>
        <w:t>Верховної Ради України</w:t>
      </w:r>
      <w:r>
        <w:rPr>
          <w:rFonts w:ascii="Times New Roman" w:hAnsi="Times New Roman"/>
          <w:sz w:val="28"/>
          <w:szCs w:val="28"/>
        </w:rPr>
        <w:t xml:space="preserve"> з питань енергетики та </w:t>
      </w:r>
    </w:p>
    <w:p w:rsidR="00756AEB" w:rsidRDefault="00756AEB" w:rsidP="00756AEB">
      <w:pPr>
        <w:spacing w:after="0"/>
        <w:jc w:val="center"/>
        <w:rPr>
          <w:rFonts w:ascii="Times New Roman" w:hAnsi="Times New Roman"/>
          <w:sz w:val="28"/>
          <w:szCs w:val="28"/>
        </w:rPr>
      </w:pPr>
      <w:r>
        <w:rPr>
          <w:rFonts w:ascii="Times New Roman" w:hAnsi="Times New Roman"/>
          <w:sz w:val="28"/>
          <w:szCs w:val="28"/>
        </w:rPr>
        <w:t xml:space="preserve">житлово-комунальних послуг </w:t>
      </w:r>
      <w:r w:rsidRPr="00756AEB">
        <w:rPr>
          <w:rFonts w:ascii="Times New Roman" w:hAnsi="Times New Roman"/>
          <w:sz w:val="28"/>
          <w:szCs w:val="28"/>
        </w:rPr>
        <w:t xml:space="preserve">за висновками </w:t>
      </w:r>
      <w:r w:rsidR="00FB2A10">
        <w:rPr>
          <w:rFonts w:ascii="Times New Roman" w:hAnsi="Times New Roman"/>
          <w:sz w:val="28"/>
          <w:szCs w:val="28"/>
        </w:rPr>
        <w:t>його</w:t>
      </w:r>
      <w:r w:rsidRPr="00756AEB">
        <w:rPr>
          <w:rFonts w:ascii="Times New Roman" w:hAnsi="Times New Roman"/>
          <w:sz w:val="28"/>
          <w:szCs w:val="28"/>
        </w:rPr>
        <w:t xml:space="preserve"> попереднього розгляду</w:t>
      </w:r>
    </w:p>
    <w:p w:rsidR="00756AEB" w:rsidRDefault="00756AEB" w:rsidP="00756AEB">
      <w:pPr>
        <w:spacing w:after="0"/>
        <w:jc w:val="center"/>
        <w:rPr>
          <w:rFonts w:ascii="Times New Roman" w:hAnsi="Times New Roman"/>
          <w:sz w:val="28"/>
          <w:szCs w:val="28"/>
        </w:rPr>
      </w:pPr>
      <w:r w:rsidRPr="00756AEB">
        <w:rPr>
          <w:rFonts w:ascii="Times New Roman" w:hAnsi="Times New Roman"/>
          <w:sz w:val="28"/>
          <w:szCs w:val="28"/>
        </w:rPr>
        <w:t>пропону</w:t>
      </w:r>
      <w:r>
        <w:rPr>
          <w:rFonts w:ascii="Times New Roman" w:hAnsi="Times New Roman"/>
          <w:sz w:val="28"/>
          <w:szCs w:val="28"/>
        </w:rPr>
        <w:t>є</w:t>
      </w:r>
      <w:r w:rsidRPr="00756AEB">
        <w:rPr>
          <w:rFonts w:ascii="Times New Roman" w:hAnsi="Times New Roman"/>
          <w:sz w:val="28"/>
          <w:szCs w:val="28"/>
        </w:rPr>
        <w:t xml:space="preserve"> не включати до порядку денного шостої сесії </w:t>
      </w:r>
    </w:p>
    <w:p w:rsidR="00756AEB" w:rsidRPr="00756AEB" w:rsidRDefault="00756AEB" w:rsidP="00756AEB">
      <w:pPr>
        <w:spacing w:after="0"/>
        <w:jc w:val="center"/>
        <w:rPr>
          <w:rFonts w:ascii="Times New Roman" w:hAnsi="Times New Roman"/>
          <w:sz w:val="28"/>
          <w:szCs w:val="28"/>
        </w:rPr>
      </w:pPr>
      <w:r w:rsidRPr="00756AEB">
        <w:rPr>
          <w:rFonts w:ascii="Times New Roman" w:hAnsi="Times New Roman"/>
          <w:sz w:val="28"/>
          <w:szCs w:val="28"/>
        </w:rPr>
        <w:t xml:space="preserve">Верховної Ради України дев'ятого скликання  </w:t>
      </w:r>
    </w:p>
    <w:p w:rsidR="00756AEB" w:rsidRPr="000C3CA9" w:rsidRDefault="00756AEB" w:rsidP="00756AEB">
      <w:pPr>
        <w:pStyle w:val="Ofisial"/>
        <w:spacing w:line="230" w:lineRule="auto"/>
        <w:ind w:firstLine="0"/>
        <w:jc w:val="center"/>
        <w:rPr>
          <w:rFonts w:ascii="Times New Roman" w:hAnsi="Times New Roman"/>
          <w:szCs w:val="28"/>
        </w:rPr>
      </w:pPr>
    </w:p>
    <w:tbl>
      <w:tblPr>
        <w:tblW w:w="10279" w:type="dxa"/>
        <w:tblLayout w:type="fixed"/>
        <w:tblCellMar>
          <w:left w:w="73" w:type="dxa"/>
          <w:right w:w="73" w:type="dxa"/>
        </w:tblCellMar>
        <w:tblLook w:val="0000" w:firstRow="0" w:lastRow="0" w:firstColumn="0" w:lastColumn="0" w:noHBand="0" w:noVBand="0"/>
      </w:tblPr>
      <w:tblGrid>
        <w:gridCol w:w="906"/>
        <w:gridCol w:w="1012"/>
        <w:gridCol w:w="6377"/>
        <w:gridCol w:w="1984"/>
      </w:tblGrid>
      <w:tr w:rsidR="00756AEB" w:rsidRPr="00EE572F" w:rsidTr="00497EC8">
        <w:trPr>
          <w:cantSplit/>
        </w:trPr>
        <w:tc>
          <w:tcPr>
            <w:tcW w:w="906" w:type="dxa"/>
            <w:tcBorders>
              <w:top w:val="single" w:sz="4" w:space="0" w:color="auto"/>
              <w:left w:val="single" w:sz="4" w:space="0" w:color="auto"/>
              <w:bottom w:val="single" w:sz="4" w:space="0" w:color="auto"/>
              <w:right w:val="single" w:sz="4" w:space="0" w:color="auto"/>
            </w:tcBorders>
          </w:tcPr>
          <w:p w:rsidR="00756AEB" w:rsidRPr="00EE572F" w:rsidRDefault="00756AEB" w:rsidP="00497EC8">
            <w:pPr>
              <w:pStyle w:val="Table"/>
              <w:spacing w:line="228" w:lineRule="auto"/>
              <w:jc w:val="center"/>
              <w:rPr>
                <w:sz w:val="22"/>
                <w:szCs w:val="22"/>
                <w:lang w:val="uk-UA"/>
              </w:rPr>
            </w:pPr>
            <w:r w:rsidRPr="00EE572F">
              <w:rPr>
                <w:sz w:val="22"/>
                <w:szCs w:val="22"/>
                <w:lang w:val="uk-UA"/>
              </w:rPr>
              <w:t>Реєстр. номер</w:t>
            </w:r>
          </w:p>
        </w:tc>
        <w:tc>
          <w:tcPr>
            <w:tcW w:w="1012" w:type="dxa"/>
            <w:tcBorders>
              <w:top w:val="single" w:sz="4" w:space="0" w:color="auto"/>
              <w:left w:val="single" w:sz="4" w:space="0" w:color="auto"/>
              <w:bottom w:val="single" w:sz="4" w:space="0" w:color="auto"/>
              <w:right w:val="single" w:sz="4" w:space="0" w:color="auto"/>
            </w:tcBorders>
          </w:tcPr>
          <w:p w:rsidR="00756AEB" w:rsidRPr="00EE572F" w:rsidRDefault="00756AEB" w:rsidP="00497EC8">
            <w:pPr>
              <w:pStyle w:val="Table"/>
              <w:spacing w:line="228" w:lineRule="auto"/>
              <w:ind w:left="-57" w:right="-57"/>
              <w:jc w:val="center"/>
              <w:rPr>
                <w:sz w:val="22"/>
                <w:szCs w:val="22"/>
                <w:lang w:val="uk-UA"/>
              </w:rPr>
            </w:pPr>
            <w:r w:rsidRPr="00EE572F">
              <w:rPr>
                <w:sz w:val="22"/>
                <w:szCs w:val="22"/>
                <w:lang w:val="uk-UA"/>
              </w:rPr>
              <w:t>Суб</w:t>
            </w:r>
            <w:r w:rsidRPr="00EE572F">
              <w:rPr>
                <w:sz w:val="22"/>
                <w:szCs w:val="22"/>
                <w:lang w:val="uk-UA"/>
              </w:rPr>
              <w:sym w:font="Symbol" w:char="F0A2"/>
            </w:r>
            <w:r w:rsidRPr="00EE572F">
              <w:rPr>
                <w:sz w:val="22"/>
                <w:szCs w:val="22"/>
                <w:lang w:val="uk-UA"/>
              </w:rPr>
              <w:t xml:space="preserve">єкт </w:t>
            </w:r>
            <w:r w:rsidRPr="00EE572F">
              <w:rPr>
                <w:spacing w:val="-4"/>
                <w:sz w:val="22"/>
                <w:szCs w:val="22"/>
                <w:lang w:val="uk-UA"/>
              </w:rPr>
              <w:t>ініціативи</w:t>
            </w:r>
          </w:p>
        </w:tc>
        <w:tc>
          <w:tcPr>
            <w:tcW w:w="6377" w:type="dxa"/>
            <w:tcBorders>
              <w:top w:val="single" w:sz="4" w:space="0" w:color="auto"/>
              <w:left w:val="single" w:sz="4" w:space="0" w:color="auto"/>
              <w:bottom w:val="single" w:sz="4" w:space="0" w:color="auto"/>
              <w:right w:val="single" w:sz="4" w:space="0" w:color="auto"/>
            </w:tcBorders>
          </w:tcPr>
          <w:p w:rsidR="00756AEB" w:rsidRPr="00EE572F" w:rsidRDefault="00756AEB" w:rsidP="00497EC8">
            <w:pPr>
              <w:pStyle w:val="Table"/>
              <w:spacing w:before="160" w:after="0" w:line="228" w:lineRule="auto"/>
              <w:jc w:val="center"/>
              <w:rPr>
                <w:sz w:val="22"/>
                <w:szCs w:val="22"/>
                <w:lang w:val="uk-UA"/>
              </w:rPr>
            </w:pPr>
            <w:r w:rsidRPr="00EE572F">
              <w:rPr>
                <w:sz w:val="22"/>
                <w:szCs w:val="22"/>
                <w:lang w:val="uk-UA"/>
              </w:rPr>
              <w:t>Назва законопроекту (питання)</w:t>
            </w:r>
          </w:p>
        </w:tc>
        <w:tc>
          <w:tcPr>
            <w:tcW w:w="1984" w:type="dxa"/>
            <w:tcBorders>
              <w:top w:val="single" w:sz="4" w:space="0" w:color="auto"/>
              <w:left w:val="single" w:sz="4" w:space="0" w:color="auto"/>
              <w:bottom w:val="single" w:sz="4" w:space="0" w:color="auto"/>
              <w:right w:val="single" w:sz="4" w:space="0" w:color="auto"/>
            </w:tcBorders>
          </w:tcPr>
          <w:p w:rsidR="00756AEB" w:rsidRPr="00EE572F" w:rsidRDefault="00756AEB" w:rsidP="00497EC8">
            <w:pPr>
              <w:pStyle w:val="Table"/>
              <w:spacing w:before="60" w:after="0" w:line="228" w:lineRule="auto"/>
              <w:jc w:val="center"/>
              <w:rPr>
                <w:sz w:val="22"/>
                <w:szCs w:val="22"/>
                <w:lang w:val="uk-UA"/>
              </w:rPr>
            </w:pPr>
            <w:r w:rsidRPr="00EE572F">
              <w:rPr>
                <w:sz w:val="22"/>
                <w:szCs w:val="22"/>
                <w:lang w:val="uk-UA"/>
              </w:rPr>
              <w:t>Відповідальні</w:t>
            </w:r>
            <w:r w:rsidRPr="00EE572F">
              <w:rPr>
                <w:sz w:val="22"/>
                <w:szCs w:val="22"/>
                <w:lang w:val="uk-UA"/>
              </w:rPr>
              <w:br/>
              <w:t>за підготовку</w:t>
            </w:r>
          </w:p>
        </w:tc>
      </w:tr>
    </w:tbl>
    <w:p w:rsidR="00756AEB" w:rsidRDefault="00756AEB" w:rsidP="00756AEB">
      <w:pPr>
        <w:spacing w:line="20" w:lineRule="exact"/>
      </w:pPr>
    </w:p>
    <w:p w:rsidR="00756AEB" w:rsidRPr="0047009A" w:rsidRDefault="00756AEB" w:rsidP="00756AEB">
      <w:pPr>
        <w:rPr>
          <w:sz w:val="4"/>
          <w:szCs w:val="4"/>
        </w:rPr>
      </w:pPr>
    </w:p>
    <w:tbl>
      <w:tblPr>
        <w:tblW w:w="10772" w:type="dxa"/>
        <w:tblLayout w:type="fixed"/>
        <w:tblCellMar>
          <w:left w:w="107" w:type="dxa"/>
          <w:right w:w="107" w:type="dxa"/>
        </w:tblCellMar>
        <w:tblLook w:val="0000" w:firstRow="0" w:lastRow="0" w:firstColumn="0" w:lastColumn="0" w:noHBand="0" w:noVBand="0"/>
      </w:tblPr>
      <w:tblGrid>
        <w:gridCol w:w="1247"/>
        <w:gridCol w:w="907"/>
        <w:gridCol w:w="6180"/>
        <w:gridCol w:w="2438"/>
      </w:tblGrid>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3267</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деяких законів України у зв'язку з відокремленням діяльності з передачі електричної енергії (щодо запровадження моделі відокремлення ISO) (проект н.д. А.Геруса надано 31.03.2020)</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3657</w:t>
            </w:r>
            <w:r w:rsidR="007700C2">
              <w:rPr>
                <w:sz w:val="28"/>
                <w:szCs w:val="28"/>
              </w:rPr>
              <w:br/>
            </w:r>
            <w:r w:rsidR="007700C2" w:rsidRPr="0091668A">
              <w:rPr>
                <w:sz w:val="28"/>
                <w:szCs w:val="28"/>
              </w:rPr>
              <w:t>3657-1</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У</w:t>
            </w:r>
            <w:r w:rsidR="007700C2">
              <w:rPr>
                <w:sz w:val="28"/>
                <w:szCs w:val="28"/>
              </w:rPr>
              <w:br/>
            </w:r>
            <w:r w:rsidR="007700C2" w:rsidRPr="0091668A">
              <w:rPr>
                <w:sz w:val="28"/>
                <w:szCs w:val="28"/>
              </w:rPr>
              <w:t>Д</w:t>
            </w:r>
            <w:r w:rsidR="007700C2">
              <w:rPr>
                <w:sz w:val="28"/>
                <w:szCs w:val="28"/>
              </w:rPr>
              <w:br/>
            </w:r>
          </w:p>
        </w:tc>
        <w:tc>
          <w:tcPr>
            <w:tcW w:w="6180" w:type="dxa"/>
            <w:tcBorders>
              <w:top w:val="nil"/>
              <w:left w:val="nil"/>
              <w:bottom w:val="nil"/>
              <w:right w:val="nil"/>
            </w:tcBorders>
          </w:tcPr>
          <w:p w:rsidR="00AF5C6E" w:rsidRPr="0091668A" w:rsidRDefault="00AF5C6E" w:rsidP="00AB458B">
            <w:pPr>
              <w:pStyle w:val="Table"/>
              <w:rPr>
                <w:sz w:val="28"/>
                <w:szCs w:val="28"/>
              </w:rPr>
            </w:pPr>
            <w:r w:rsidRPr="0091668A">
              <w:rPr>
                <w:sz w:val="28"/>
                <w:szCs w:val="28"/>
              </w:rPr>
              <w:t>Проект Закону про внесення змін до Закону України "Про ринок електричної енергії" (проект Кабінету Міністрів України надано 16.06.2020</w:t>
            </w:r>
            <w:r w:rsidR="00AB458B">
              <w:rPr>
                <w:sz w:val="28"/>
                <w:szCs w:val="28"/>
                <w:lang w:val="uk-UA"/>
              </w:rPr>
              <w:t>,</w:t>
            </w:r>
            <w:r w:rsidR="007700C2" w:rsidRPr="007700C2">
              <w:rPr>
                <w:sz w:val="28"/>
                <w:szCs w:val="28"/>
              </w:rPr>
              <w:t xml:space="preserve"> </w:t>
            </w:r>
            <w:r w:rsidR="007700C2" w:rsidRPr="0091668A">
              <w:rPr>
                <w:sz w:val="28"/>
                <w:szCs w:val="28"/>
              </w:rPr>
              <w:t xml:space="preserve">проект н.д. А.Жупанина </w:t>
            </w:r>
            <w:r w:rsidR="007700C2" w:rsidRPr="00AB458B">
              <w:rPr>
                <w:sz w:val="28"/>
                <w:szCs w:val="28"/>
              </w:rPr>
              <w:t>–</w:t>
            </w:r>
            <w:r w:rsidR="007700C2">
              <w:rPr>
                <w:sz w:val="28"/>
                <w:szCs w:val="28"/>
                <w:lang w:val="uk-UA"/>
              </w:rPr>
              <w:t xml:space="preserve"> </w:t>
            </w:r>
            <w:r w:rsidR="007700C2" w:rsidRPr="0091668A">
              <w:rPr>
                <w:sz w:val="28"/>
                <w:szCs w:val="28"/>
              </w:rPr>
              <w:t>25.06.2020</w:t>
            </w:r>
            <w:r w:rsidRPr="0091668A">
              <w:rPr>
                <w:sz w:val="28"/>
                <w:szCs w:val="28"/>
              </w:rPr>
              <w:t>)</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3732</w:t>
            </w:r>
            <w:r w:rsidR="00AB458B">
              <w:rPr>
                <w:sz w:val="28"/>
                <w:szCs w:val="28"/>
              </w:rPr>
              <w:br/>
            </w:r>
            <w:r w:rsidR="00AB458B" w:rsidRPr="0091668A">
              <w:rPr>
                <w:sz w:val="28"/>
                <w:szCs w:val="28"/>
              </w:rPr>
              <w:t>3732-1</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r w:rsidR="00AB458B">
              <w:rPr>
                <w:sz w:val="28"/>
                <w:szCs w:val="28"/>
              </w:rPr>
              <w:br/>
            </w:r>
            <w:r w:rsidR="00AB458B"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Прикінцевих та перехідних положень Закону України "Про комерційний облік теплової енергії та водопостачання" щодо перенесення строків встановлення вузлів комерційного обліку в будинках та відтермінування застосування штрафних санкцій за порушення строків встановлення або заміни вузлів комерційного обліку (проект н.д. О.Копанчук надано 25.06.2020</w:t>
            </w:r>
            <w:r w:rsidR="00AB458B">
              <w:rPr>
                <w:sz w:val="28"/>
                <w:szCs w:val="28"/>
                <w:lang w:val="uk-UA"/>
              </w:rPr>
              <w:t xml:space="preserve">, </w:t>
            </w:r>
            <w:r w:rsidR="00AB458B" w:rsidRPr="0091668A">
              <w:rPr>
                <w:sz w:val="28"/>
                <w:szCs w:val="28"/>
              </w:rPr>
              <w:t xml:space="preserve">проект н.д. Д.Чорного </w:t>
            </w:r>
            <w:r w:rsidR="00AB458B" w:rsidRPr="00AB458B">
              <w:rPr>
                <w:sz w:val="28"/>
                <w:szCs w:val="28"/>
              </w:rPr>
              <w:t>–</w:t>
            </w:r>
            <w:r w:rsidR="00AB458B">
              <w:rPr>
                <w:sz w:val="28"/>
                <w:szCs w:val="28"/>
                <w:lang w:val="uk-UA"/>
              </w:rPr>
              <w:t xml:space="preserve"> </w:t>
            </w:r>
            <w:r w:rsidR="00AB458B" w:rsidRPr="0091668A">
              <w:rPr>
                <w:sz w:val="28"/>
                <w:szCs w:val="28"/>
              </w:rPr>
              <w:t>10.07.2020</w:t>
            </w:r>
            <w:r w:rsidRPr="0091668A">
              <w:rPr>
                <w:sz w:val="28"/>
                <w:szCs w:val="28"/>
              </w:rPr>
              <w:t>)</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3800</w:t>
            </w:r>
            <w:r w:rsidR="00AB458B">
              <w:rPr>
                <w:sz w:val="28"/>
                <w:szCs w:val="28"/>
              </w:rPr>
              <w:br/>
            </w:r>
            <w:r w:rsidR="00AB458B" w:rsidRPr="0091668A">
              <w:rPr>
                <w:sz w:val="28"/>
                <w:szCs w:val="28"/>
              </w:rPr>
              <w:t>3800-1</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r w:rsidR="00AB458B">
              <w:rPr>
                <w:sz w:val="28"/>
                <w:szCs w:val="28"/>
              </w:rPr>
              <w:br/>
            </w:r>
            <w:r w:rsidR="00AB458B"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Закону України "Про ринок природного газу" щодо забезпечення фінансової стабільності на ринку природного газу (проект н.д. А.Жупанина надано 08.07.2020</w:t>
            </w:r>
            <w:r w:rsidR="00AB458B">
              <w:rPr>
                <w:sz w:val="28"/>
                <w:szCs w:val="28"/>
                <w:lang w:val="uk-UA"/>
              </w:rPr>
              <w:t xml:space="preserve">, </w:t>
            </w:r>
            <w:r w:rsidR="00AB458B" w:rsidRPr="0091668A">
              <w:rPr>
                <w:sz w:val="28"/>
                <w:szCs w:val="28"/>
              </w:rPr>
              <w:t xml:space="preserve">проект н.д. О.Кучеренка </w:t>
            </w:r>
            <w:r w:rsidR="00AB458B" w:rsidRPr="00AB458B">
              <w:rPr>
                <w:sz w:val="28"/>
                <w:szCs w:val="28"/>
              </w:rPr>
              <w:t>–</w:t>
            </w:r>
            <w:r w:rsidR="00AB458B">
              <w:rPr>
                <w:sz w:val="28"/>
                <w:szCs w:val="28"/>
                <w:lang w:val="uk-UA"/>
              </w:rPr>
              <w:t xml:space="preserve"> </w:t>
            </w:r>
            <w:r w:rsidR="00AB458B" w:rsidRPr="0091668A">
              <w:rPr>
                <w:sz w:val="28"/>
                <w:szCs w:val="28"/>
              </w:rPr>
              <w:t>21.07.2020</w:t>
            </w:r>
            <w:r w:rsidRPr="0091668A">
              <w:rPr>
                <w:sz w:val="28"/>
                <w:szCs w:val="28"/>
              </w:rPr>
              <w:t>)</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3837</w:t>
            </w:r>
            <w:r w:rsidR="00AB458B">
              <w:rPr>
                <w:sz w:val="28"/>
                <w:szCs w:val="28"/>
              </w:rPr>
              <w:br/>
            </w:r>
            <w:r w:rsidR="00AB458B" w:rsidRPr="0091668A">
              <w:rPr>
                <w:sz w:val="28"/>
                <w:szCs w:val="28"/>
              </w:rPr>
              <w:t>3837-1</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r w:rsidR="00AB458B">
              <w:rPr>
                <w:sz w:val="28"/>
                <w:szCs w:val="28"/>
              </w:rPr>
              <w:br/>
            </w:r>
            <w:r w:rsidR="00AB458B"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деяких законів України щодо запровадження спільних аукціонів з розподілу пропускної спроможності (проект н.д. І.Климпуш-Цинцадзе надано 15.07.2020</w:t>
            </w:r>
            <w:r w:rsidR="00AB458B">
              <w:rPr>
                <w:sz w:val="28"/>
                <w:szCs w:val="28"/>
                <w:lang w:val="uk-UA"/>
              </w:rPr>
              <w:t xml:space="preserve">, </w:t>
            </w:r>
            <w:r w:rsidR="00AB458B" w:rsidRPr="0091668A">
              <w:rPr>
                <w:sz w:val="28"/>
                <w:szCs w:val="28"/>
              </w:rPr>
              <w:t xml:space="preserve">проект н.д. Л.Буймістер  </w:t>
            </w:r>
            <w:r w:rsidR="00AB458B" w:rsidRPr="00AB458B">
              <w:rPr>
                <w:sz w:val="28"/>
                <w:szCs w:val="28"/>
              </w:rPr>
              <w:t>–</w:t>
            </w:r>
            <w:r w:rsidR="00AB458B">
              <w:rPr>
                <w:sz w:val="28"/>
                <w:szCs w:val="28"/>
                <w:lang w:val="uk-UA"/>
              </w:rPr>
              <w:t xml:space="preserve"> </w:t>
            </w:r>
            <w:r w:rsidR="00AB458B" w:rsidRPr="0091668A">
              <w:rPr>
                <w:sz w:val="28"/>
                <w:szCs w:val="28"/>
              </w:rPr>
              <w:t>03.08.2020</w:t>
            </w:r>
            <w:r w:rsidRPr="0091668A">
              <w:rPr>
                <w:sz w:val="28"/>
                <w:szCs w:val="28"/>
              </w:rPr>
              <w:t>)</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4383</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до Закону України "Про житлово-комунальні послуги" змін щодо порядку та терміну укладання договорів про надання комунальних послуг (проект н.д. В.Гриб  надано 18.11.2020)</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4385</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 xml:space="preserve">Проект Закону про внесення зміни до розділу II "Прикінцеві положення" Закону України "Про внесення змін до деяких законодавчих актів України, </w:t>
            </w:r>
            <w:r w:rsidRPr="0091668A">
              <w:rPr>
                <w:sz w:val="28"/>
                <w:szCs w:val="28"/>
              </w:rPr>
              <w:lastRenderedPageBreak/>
              <w:t>спрямованих на запобігання виникненню і поширенню коронавірусної хвороби (COVID-19)" щодо тимчасового звільнення населення від оплати житлово-комунальних послуг на період дії карантину або обмежувальних заходів, пов’язаних із поширенням коронавірусної хвороби (COVID-19) (проект н.д. В.Рабіновича надано 18.11.2020)</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lastRenderedPageBreak/>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4386</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зміни до розділу II "Прикінцеві положення" Закону України "Про внесення змін до деяких законодавчих актів України, спрямованих на запобігання виникненню і поширенню коронавірусної хвороби (COVID-19)" щодо списання заборгованості населення за спожиті житлово-комунальні послуги, що утворилась у період дії карантину або обмежувальних заходів, пов’язаних із поширенням коронавірусної хвороби (COVID-19) (проект н.д. В.Рабіновича надано 18.11.2020)</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4493</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розділу XVII "Прикінцеві та перехідні положення" Закону України "Про ринок електричної енергії" щодо подовження повноважень Регулятора (проект н.д. О.Кучеренка надано 17.12.2020)</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4508</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Закону України "Про комерційний облік теплової енергії та водопостачання" щодо оснащення будівель вузлами комерційного обліку за рахунок оператора зовнішніх мереж (проект н.д. А.Ляшенко надано 21.12.2020)</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4522</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перегляд та зменшення тарифів на послуги розподілу природного газу (проект н.д. А.Ляшенко надано 22.12.2020)</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4529</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управління майданчиками ядерного спадку (проект н.д. К.Нестеренка надано 23.12.2020)</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4580</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звернення до Кабінету Міністрів України щодо невідкладного вжиття комплексних заходів для належного врегулювання цін на енергоносії та їх доставку для побутових споживачів (проект н.д. О.Кулініча надано 15.01.2021)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4581</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зупинення підвищення тарифів на енергоносії та перегляд їх розмірів (проект н.д. О.Качури надано 15.01.2021)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4588</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Звернення Верховної Ради України до Кабінету Міністрів України з вимогою відновлення прав населення, яке проживає в 30-кілометровій зоні  атомних електростанцій, на пільгу за спожиту електричну енергію, у розмірі 70 відсотків від рівня діючого тарифу для відповідної групи населення та відновлення пільги за спожиту електроенергію для населення, яке проживає в будинках з електроопаленням (проект н.д. О.Копанчук надано 16.01.2021)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4595</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невідкладне звернення до Кабінету Міністрів України щодо вжиття необхідних заходів для встановлення зважених тарифів на енергоносії для побутових споживачів (проект н.д. О.Ковальова надано 19.01.2021)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4596</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звернення до Кабінету Міністрів України щодо вжиття невідкладних заходів з метою зниження фіксованої ціни на електричну енергію та тарифів на послуги розподілу природного газу (проект н.д. О.Скічка надано 19.01.2021)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lastRenderedPageBreak/>
              <w:t>4610</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зміни до розділу XVII "Прикінцеві та перехідні положення" Закону України "Про ринок електричної енергії" щодо особливостей покладення спеціальних обов’язків на учасників ринку електричної енергії для забезпечення загальносуспільних інтересів та встановлення фіксованих цін на електричну енергію для побутових споживачів (проект н.д. Н.Королевської надано 22.01.2021)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4617</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вжиття невідкладних заходів, спрямованих на стабілізацію державної політики у сфері житлово-комунальних послуг та енергетики (проект н.д. П.Порошенка надано 25.01.2021)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4635</w:t>
            </w:r>
            <w:r w:rsidR="00AB458B">
              <w:rPr>
                <w:sz w:val="28"/>
                <w:szCs w:val="28"/>
              </w:rPr>
              <w:br/>
            </w:r>
            <w:r w:rsidR="00AB458B" w:rsidRPr="0091668A">
              <w:rPr>
                <w:sz w:val="28"/>
                <w:szCs w:val="28"/>
              </w:rPr>
              <w:t>4635-1</w:t>
            </w:r>
            <w:r w:rsidR="00AB458B">
              <w:rPr>
                <w:sz w:val="28"/>
                <w:szCs w:val="28"/>
              </w:rPr>
              <w:br/>
            </w:r>
            <w:r w:rsidR="00AB458B" w:rsidRPr="0091668A">
              <w:rPr>
                <w:sz w:val="28"/>
                <w:szCs w:val="28"/>
              </w:rPr>
              <w:t>4635-2</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r w:rsidR="00AB458B">
              <w:rPr>
                <w:sz w:val="28"/>
                <w:szCs w:val="28"/>
              </w:rPr>
              <w:br/>
            </w:r>
            <w:r w:rsidR="00AB458B" w:rsidRPr="0091668A">
              <w:rPr>
                <w:sz w:val="28"/>
                <w:szCs w:val="28"/>
              </w:rPr>
              <w:t>Д</w:t>
            </w:r>
            <w:r w:rsidR="00AB458B">
              <w:rPr>
                <w:sz w:val="28"/>
                <w:szCs w:val="28"/>
              </w:rPr>
              <w:br/>
            </w:r>
            <w:r w:rsidR="00AB458B"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деяких законів України щодо захисту прав споживачів природного газу (проект н.д. О.Кулініча надано 27.01.2021</w:t>
            </w:r>
            <w:r w:rsidR="00AB458B">
              <w:rPr>
                <w:sz w:val="28"/>
                <w:szCs w:val="28"/>
                <w:lang w:val="uk-UA"/>
              </w:rPr>
              <w:t xml:space="preserve">, </w:t>
            </w:r>
            <w:r w:rsidR="00AB458B" w:rsidRPr="0091668A">
              <w:rPr>
                <w:sz w:val="28"/>
                <w:szCs w:val="28"/>
              </w:rPr>
              <w:t xml:space="preserve">проект н.д. Н.Королевської </w:t>
            </w:r>
            <w:r w:rsidR="00AB458B" w:rsidRPr="00AB458B">
              <w:rPr>
                <w:sz w:val="28"/>
                <w:szCs w:val="28"/>
              </w:rPr>
              <w:t>–</w:t>
            </w:r>
            <w:r w:rsidR="00AB458B">
              <w:rPr>
                <w:sz w:val="28"/>
                <w:szCs w:val="28"/>
                <w:lang w:val="uk-UA"/>
              </w:rPr>
              <w:t xml:space="preserve"> </w:t>
            </w:r>
            <w:r w:rsidR="00AB458B" w:rsidRPr="0091668A">
              <w:rPr>
                <w:sz w:val="28"/>
                <w:szCs w:val="28"/>
              </w:rPr>
              <w:t>15.02.2021</w:t>
            </w:r>
            <w:r w:rsidR="00AB458B">
              <w:rPr>
                <w:sz w:val="28"/>
                <w:szCs w:val="28"/>
                <w:lang w:val="uk-UA"/>
              </w:rPr>
              <w:t xml:space="preserve">, </w:t>
            </w:r>
            <w:r w:rsidR="00AB458B" w:rsidRPr="0091668A">
              <w:rPr>
                <w:sz w:val="28"/>
                <w:szCs w:val="28"/>
              </w:rPr>
              <w:t xml:space="preserve">проект н.д. Д.Припутеня </w:t>
            </w:r>
            <w:r w:rsidR="00AB458B" w:rsidRPr="00AB458B">
              <w:rPr>
                <w:sz w:val="28"/>
                <w:szCs w:val="28"/>
              </w:rPr>
              <w:t>–</w:t>
            </w:r>
            <w:r w:rsidR="00AB458B">
              <w:rPr>
                <w:sz w:val="28"/>
                <w:szCs w:val="28"/>
                <w:lang w:val="uk-UA"/>
              </w:rPr>
              <w:t xml:space="preserve"> </w:t>
            </w:r>
            <w:r w:rsidR="00AB458B" w:rsidRPr="0091668A">
              <w:rPr>
                <w:sz w:val="28"/>
                <w:szCs w:val="28"/>
              </w:rPr>
              <w:t>15.02.2021</w:t>
            </w:r>
            <w:r w:rsidRPr="0091668A">
              <w:rPr>
                <w:sz w:val="28"/>
                <w:szCs w:val="28"/>
              </w:rPr>
              <w:t>)</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4656</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компенсацію побутовим споживачам (населенню) різниці в цінах на природний газ (проект н.д. В.Івченка надано 29.01.2021)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4678</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захист прав побутових споживачів природного газу у зв’язку з запровадженням карантинних заходів із недопущення поширення коронавірусної хвороби (COVID-19) на території України у січні 2021 року (проект н.д. С.Кузьміних надано 02.02.2021)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5004</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статті 32 Закону України "Про ринок природного газу" (проект н.д. І.Молотка надано 04.02.2021)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5147</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деяких законодавчих актів України щодо умов сталого функціонування гарантованого покупця (проект н.д. О.Гончаренка надано 02.03.2021)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5320</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Постанови про Звернення Верховної Ради України до Кабінету Міністрів України з вимогою на встановлення для населення, яке проживає в 30-кілометровій зоні атомних електростанцій, пільги за спожиту електричну енергію, у розмірі 30 відсотків від рівня діючого тарифу за обсяг, спожитий до 500 кВт·год  електроенергії на місяць (включно) (проект н.д. М.Дирдіна надано 02.04.2021)</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r w:rsidR="00AF5C6E" w:rsidTr="00FE5F57">
        <w:trPr>
          <w:cantSplit/>
        </w:trPr>
        <w:tc>
          <w:tcPr>
            <w:tcW w:w="124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5407</w:t>
            </w:r>
            <w:r w:rsidR="00FB41C3">
              <w:rPr>
                <w:sz w:val="28"/>
                <w:szCs w:val="28"/>
              </w:rPr>
              <w:br/>
            </w:r>
            <w:r w:rsidR="00FB41C3" w:rsidRPr="0091668A">
              <w:rPr>
                <w:sz w:val="28"/>
                <w:szCs w:val="28"/>
              </w:rPr>
              <w:t>5407-1</w:t>
            </w:r>
          </w:p>
        </w:tc>
        <w:tc>
          <w:tcPr>
            <w:tcW w:w="907"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Д</w:t>
            </w:r>
            <w:r w:rsidR="00FB41C3">
              <w:rPr>
                <w:sz w:val="28"/>
                <w:szCs w:val="28"/>
              </w:rPr>
              <w:br/>
            </w:r>
            <w:r w:rsidR="00FB41C3" w:rsidRPr="0091668A">
              <w:rPr>
                <w:sz w:val="28"/>
                <w:szCs w:val="28"/>
              </w:rPr>
              <w:t>Д</w:t>
            </w:r>
          </w:p>
        </w:tc>
        <w:tc>
          <w:tcPr>
            <w:tcW w:w="6180" w:type="dxa"/>
            <w:tcBorders>
              <w:top w:val="nil"/>
              <w:left w:val="nil"/>
              <w:bottom w:val="nil"/>
              <w:right w:val="nil"/>
            </w:tcBorders>
          </w:tcPr>
          <w:p w:rsidR="00AF5C6E" w:rsidRPr="0091668A" w:rsidRDefault="00AF5C6E" w:rsidP="006E4030">
            <w:pPr>
              <w:pStyle w:val="Table"/>
              <w:rPr>
                <w:sz w:val="28"/>
                <w:szCs w:val="28"/>
              </w:rPr>
            </w:pPr>
            <w:r w:rsidRPr="0091668A">
              <w:rPr>
                <w:sz w:val="28"/>
                <w:szCs w:val="28"/>
              </w:rPr>
              <w:t>Проект Закону про внесення змін до Закону України "Про ринок електричної енергії" щодо посилення захисту вразливих споживачів електричної енергії (проект н.д. А.Полякова надано 29.04.2021</w:t>
            </w:r>
            <w:r w:rsidR="00FB41C3">
              <w:rPr>
                <w:sz w:val="28"/>
                <w:szCs w:val="28"/>
                <w:lang w:val="uk-UA"/>
              </w:rPr>
              <w:t xml:space="preserve">, </w:t>
            </w:r>
            <w:r w:rsidR="00FB41C3" w:rsidRPr="0091668A">
              <w:rPr>
                <w:sz w:val="28"/>
                <w:szCs w:val="28"/>
              </w:rPr>
              <w:t xml:space="preserve">проект н.д. Н.Королевської </w:t>
            </w:r>
            <w:r w:rsidR="00FB41C3" w:rsidRPr="00AB458B">
              <w:rPr>
                <w:sz w:val="28"/>
                <w:szCs w:val="28"/>
              </w:rPr>
              <w:t>–</w:t>
            </w:r>
            <w:r w:rsidR="00FB41C3">
              <w:rPr>
                <w:sz w:val="28"/>
                <w:szCs w:val="28"/>
                <w:lang w:val="uk-UA"/>
              </w:rPr>
              <w:t xml:space="preserve"> </w:t>
            </w:r>
            <w:r w:rsidR="00FB41C3" w:rsidRPr="0091668A">
              <w:rPr>
                <w:sz w:val="28"/>
                <w:szCs w:val="28"/>
              </w:rPr>
              <w:t>17.05.2021</w:t>
            </w:r>
            <w:r w:rsidRPr="0091668A">
              <w:rPr>
                <w:sz w:val="28"/>
                <w:szCs w:val="28"/>
              </w:rPr>
              <w:t>)</w:t>
            </w:r>
          </w:p>
        </w:tc>
        <w:tc>
          <w:tcPr>
            <w:tcW w:w="2438" w:type="dxa"/>
            <w:tcBorders>
              <w:top w:val="nil"/>
              <w:left w:val="nil"/>
              <w:bottom w:val="nil"/>
              <w:right w:val="nil"/>
            </w:tcBorders>
          </w:tcPr>
          <w:p w:rsidR="00AF5C6E" w:rsidRPr="0091668A" w:rsidRDefault="00AF5C6E" w:rsidP="006E4030">
            <w:pPr>
              <w:pStyle w:val="Table"/>
              <w:rPr>
                <w:i/>
                <w:iCs/>
                <w:sz w:val="28"/>
                <w:szCs w:val="28"/>
              </w:rPr>
            </w:pPr>
            <w:r w:rsidRPr="0091668A">
              <w:rPr>
                <w:i/>
                <w:iCs/>
                <w:sz w:val="28"/>
                <w:szCs w:val="28"/>
              </w:rPr>
              <w:t>А.Герус</w:t>
            </w:r>
          </w:p>
        </w:tc>
      </w:tr>
    </w:tbl>
    <w:p w:rsidR="00756AEB" w:rsidRDefault="00756AEB" w:rsidP="00756AEB">
      <w:pPr>
        <w:spacing w:before="40" w:after="120"/>
        <w:rPr>
          <w:b/>
          <w:sz w:val="24"/>
          <w:szCs w:val="24"/>
        </w:rPr>
      </w:pPr>
    </w:p>
    <w:tbl>
      <w:tblPr>
        <w:tblW w:w="10419" w:type="dxa"/>
        <w:tblInd w:w="-1" w:type="dxa"/>
        <w:tblLayout w:type="fixed"/>
        <w:tblCellMar>
          <w:left w:w="70" w:type="dxa"/>
          <w:right w:w="70" w:type="dxa"/>
        </w:tblCellMar>
        <w:tblLook w:val="0000" w:firstRow="0" w:lastRow="0" w:firstColumn="0" w:lastColumn="0" w:noHBand="0" w:noVBand="0"/>
      </w:tblPr>
      <w:tblGrid>
        <w:gridCol w:w="1770"/>
        <w:gridCol w:w="227"/>
        <w:gridCol w:w="160"/>
        <w:gridCol w:w="606"/>
        <w:gridCol w:w="160"/>
        <w:gridCol w:w="7213"/>
        <w:gridCol w:w="283"/>
      </w:tblGrid>
      <w:tr w:rsidR="00756AEB" w:rsidRPr="007021AC" w:rsidTr="00497EC8">
        <w:trPr>
          <w:gridAfter w:val="1"/>
          <w:wAfter w:w="283" w:type="dxa"/>
        </w:trPr>
        <w:tc>
          <w:tcPr>
            <w:tcW w:w="2763" w:type="dxa"/>
            <w:gridSpan w:val="4"/>
          </w:tcPr>
          <w:p w:rsidR="00756AEB" w:rsidRPr="007021AC" w:rsidRDefault="00756AEB" w:rsidP="00497EC8">
            <w:pPr>
              <w:spacing w:before="20" w:after="20" w:line="228" w:lineRule="auto"/>
              <w:rPr>
                <w:rFonts w:ascii="Baltica" w:hAnsi="Baltica"/>
              </w:rPr>
            </w:pPr>
            <w:r w:rsidRPr="007021AC">
              <w:rPr>
                <w:rFonts w:ascii="Baltica" w:hAnsi="Baltica"/>
              </w:rPr>
              <w:t>Умовні позначення:</w:t>
            </w:r>
          </w:p>
        </w:tc>
        <w:tc>
          <w:tcPr>
            <w:tcW w:w="160" w:type="dxa"/>
          </w:tcPr>
          <w:p w:rsidR="00756AEB" w:rsidRPr="007021AC" w:rsidRDefault="00756AEB" w:rsidP="00497EC8">
            <w:pPr>
              <w:spacing w:before="20" w:after="20" w:line="228" w:lineRule="auto"/>
            </w:pPr>
          </w:p>
        </w:tc>
        <w:tc>
          <w:tcPr>
            <w:tcW w:w="7213" w:type="dxa"/>
          </w:tcPr>
          <w:p w:rsidR="00756AEB" w:rsidRPr="007021AC" w:rsidRDefault="00756AEB" w:rsidP="00497EC8">
            <w:pPr>
              <w:spacing w:before="20" w:after="20" w:line="228" w:lineRule="auto"/>
            </w:pPr>
          </w:p>
        </w:tc>
      </w:tr>
      <w:tr w:rsidR="00756AEB" w:rsidRPr="007021AC" w:rsidTr="00497EC8">
        <w:tc>
          <w:tcPr>
            <w:tcW w:w="1770" w:type="dxa"/>
          </w:tcPr>
          <w:p w:rsidR="00756AEB" w:rsidRPr="007021AC" w:rsidRDefault="00756AEB" w:rsidP="00497EC8">
            <w:pPr>
              <w:spacing w:before="20" w:after="20" w:line="216" w:lineRule="auto"/>
              <w:jc w:val="right"/>
              <w:rPr>
                <w:rFonts w:ascii="Baltica" w:hAnsi="Baltica"/>
                <w:noProof/>
              </w:rPr>
            </w:pPr>
            <w:r w:rsidRPr="007021AC">
              <w:rPr>
                <w:rFonts w:ascii="Baltica" w:hAnsi="Baltica"/>
                <w:noProof/>
              </w:rPr>
              <w:t>У</w:t>
            </w:r>
          </w:p>
        </w:tc>
        <w:tc>
          <w:tcPr>
            <w:tcW w:w="227" w:type="dxa"/>
          </w:tcPr>
          <w:p w:rsidR="00756AEB" w:rsidRPr="007021AC" w:rsidRDefault="00756AEB" w:rsidP="00497EC8">
            <w:pPr>
              <w:spacing w:before="20" w:after="20" w:line="216" w:lineRule="auto"/>
              <w:rPr>
                <w:rFonts w:ascii="Baltica" w:hAnsi="Baltica"/>
                <w:noProof/>
              </w:rPr>
            </w:pPr>
            <w:r w:rsidRPr="007021AC">
              <w:rPr>
                <w:rFonts w:ascii="Baltica" w:hAnsi="Baltica"/>
                <w:noProof/>
              </w:rPr>
              <w:t>-</w:t>
            </w:r>
          </w:p>
        </w:tc>
        <w:tc>
          <w:tcPr>
            <w:tcW w:w="160" w:type="dxa"/>
          </w:tcPr>
          <w:p w:rsidR="00756AEB" w:rsidRPr="007021AC" w:rsidRDefault="00756AEB" w:rsidP="00497EC8">
            <w:pPr>
              <w:pStyle w:val="a3"/>
              <w:spacing w:before="20" w:after="20" w:line="216" w:lineRule="auto"/>
              <w:rPr>
                <w:rFonts w:ascii="Baltica" w:hAnsi="Baltica"/>
                <w:noProof/>
                <w:sz w:val="22"/>
                <w:szCs w:val="22"/>
                <w:lang w:val="uk-UA"/>
              </w:rPr>
            </w:pPr>
          </w:p>
        </w:tc>
        <w:tc>
          <w:tcPr>
            <w:tcW w:w="8262" w:type="dxa"/>
            <w:gridSpan w:val="4"/>
          </w:tcPr>
          <w:p w:rsidR="00756AEB" w:rsidRPr="007021AC" w:rsidRDefault="00756AEB" w:rsidP="00497EC8">
            <w:pPr>
              <w:pStyle w:val="a3"/>
              <w:spacing w:before="20" w:after="20" w:line="216" w:lineRule="auto"/>
              <w:rPr>
                <w:rFonts w:ascii="Baltica" w:hAnsi="Baltica"/>
                <w:noProof/>
                <w:sz w:val="22"/>
                <w:szCs w:val="22"/>
                <w:lang w:val="uk-UA"/>
              </w:rPr>
            </w:pPr>
            <w:r w:rsidRPr="007021AC">
              <w:rPr>
                <w:rFonts w:ascii="Baltica" w:hAnsi="Baltica"/>
                <w:noProof/>
                <w:sz w:val="22"/>
                <w:szCs w:val="22"/>
                <w:lang w:val="uk-UA"/>
              </w:rPr>
              <w:t>законопроекти, внесені Кабінетом Міністрів України</w:t>
            </w:r>
          </w:p>
        </w:tc>
      </w:tr>
      <w:tr w:rsidR="00756AEB" w:rsidRPr="007021AC" w:rsidTr="00497EC8">
        <w:tc>
          <w:tcPr>
            <w:tcW w:w="1770" w:type="dxa"/>
          </w:tcPr>
          <w:p w:rsidR="00756AEB" w:rsidRPr="007021AC" w:rsidRDefault="00756AEB" w:rsidP="00497EC8">
            <w:pPr>
              <w:spacing w:before="20" w:after="20" w:line="216" w:lineRule="auto"/>
              <w:jc w:val="right"/>
              <w:rPr>
                <w:rFonts w:ascii="Baltica" w:hAnsi="Baltica"/>
                <w:noProof/>
              </w:rPr>
            </w:pPr>
            <w:r w:rsidRPr="007021AC">
              <w:rPr>
                <w:rFonts w:ascii="Baltica" w:hAnsi="Baltica"/>
                <w:noProof/>
              </w:rPr>
              <w:t>Д</w:t>
            </w:r>
          </w:p>
        </w:tc>
        <w:tc>
          <w:tcPr>
            <w:tcW w:w="227" w:type="dxa"/>
          </w:tcPr>
          <w:p w:rsidR="00756AEB" w:rsidRPr="007021AC" w:rsidRDefault="00756AEB" w:rsidP="00497EC8">
            <w:pPr>
              <w:spacing w:before="20" w:after="20" w:line="216" w:lineRule="auto"/>
              <w:rPr>
                <w:rFonts w:ascii="Baltica" w:hAnsi="Baltica"/>
                <w:noProof/>
              </w:rPr>
            </w:pPr>
            <w:r w:rsidRPr="007021AC">
              <w:rPr>
                <w:rFonts w:ascii="Baltica" w:hAnsi="Baltica"/>
                <w:noProof/>
              </w:rPr>
              <w:t>-</w:t>
            </w:r>
          </w:p>
        </w:tc>
        <w:tc>
          <w:tcPr>
            <w:tcW w:w="160" w:type="dxa"/>
          </w:tcPr>
          <w:p w:rsidR="00756AEB" w:rsidRPr="007021AC" w:rsidRDefault="00756AEB" w:rsidP="00497EC8">
            <w:pPr>
              <w:pStyle w:val="a3"/>
              <w:spacing w:before="20" w:after="20" w:line="216" w:lineRule="auto"/>
              <w:rPr>
                <w:rFonts w:ascii="Baltica" w:hAnsi="Baltica"/>
                <w:noProof/>
                <w:sz w:val="22"/>
                <w:szCs w:val="22"/>
                <w:lang w:val="uk-UA"/>
              </w:rPr>
            </w:pPr>
          </w:p>
        </w:tc>
        <w:tc>
          <w:tcPr>
            <w:tcW w:w="8262" w:type="dxa"/>
            <w:gridSpan w:val="4"/>
          </w:tcPr>
          <w:p w:rsidR="00756AEB" w:rsidRPr="007021AC" w:rsidRDefault="00756AEB" w:rsidP="00497EC8">
            <w:pPr>
              <w:pStyle w:val="a3"/>
              <w:spacing w:before="20" w:after="20" w:line="216" w:lineRule="auto"/>
              <w:rPr>
                <w:rFonts w:ascii="Baltica" w:hAnsi="Baltica"/>
                <w:noProof/>
                <w:sz w:val="22"/>
                <w:szCs w:val="22"/>
                <w:lang w:val="uk-UA"/>
              </w:rPr>
            </w:pPr>
            <w:r w:rsidRPr="007021AC">
              <w:rPr>
                <w:rFonts w:ascii="Baltica" w:hAnsi="Baltica"/>
                <w:noProof/>
                <w:sz w:val="22"/>
                <w:szCs w:val="22"/>
                <w:lang w:val="uk-UA"/>
              </w:rPr>
              <w:t>законопроекти, внесені народними депутатами України</w:t>
            </w:r>
          </w:p>
        </w:tc>
      </w:tr>
    </w:tbl>
    <w:p w:rsidR="00756AEB" w:rsidRDefault="00756AEB" w:rsidP="00756AEB">
      <w:pPr>
        <w:spacing w:before="40" w:after="120"/>
        <w:rPr>
          <w:b/>
          <w:sz w:val="24"/>
          <w:szCs w:val="24"/>
        </w:rPr>
      </w:pPr>
    </w:p>
    <w:p w:rsidR="00756AEB" w:rsidRPr="003768B5" w:rsidRDefault="00756AEB" w:rsidP="00756AEB">
      <w:pPr>
        <w:spacing w:before="40" w:after="120"/>
        <w:rPr>
          <w:b/>
          <w:sz w:val="24"/>
          <w:szCs w:val="24"/>
        </w:rPr>
      </w:pPr>
    </w:p>
    <w:p w:rsidR="00756AEB" w:rsidRDefault="00756AEB" w:rsidP="00756AEB"/>
    <w:p w:rsidR="00BA45A9" w:rsidRDefault="00BA45A9"/>
    <w:sectPr w:rsidR="00BA45A9" w:rsidSect="00564DF6">
      <w:headerReference w:type="even" r:id="rId6"/>
      <w:headerReference w:type="default" r:id="rId7"/>
      <w:pgSz w:w="11906" w:h="16838" w:code="9"/>
      <w:pgMar w:top="737" w:right="794" w:bottom="680" w:left="102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17C" w:rsidRDefault="00C7317C">
      <w:pPr>
        <w:spacing w:after="0" w:line="240" w:lineRule="auto"/>
      </w:pPr>
      <w:r>
        <w:separator/>
      </w:r>
    </w:p>
  </w:endnote>
  <w:endnote w:type="continuationSeparator" w:id="0">
    <w:p w:rsidR="00C7317C" w:rsidRDefault="00C73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uturisExtra">
    <w:panose1 w:val="020B7200000000000000"/>
    <w:charset w:val="00"/>
    <w:family w:val="swiss"/>
    <w:pitch w:val="variable"/>
    <w:sig w:usb0="00000203" w:usb1="00000000" w:usb2="00000000" w:usb3="00000000" w:csb0="00000005" w:csb1="00000000"/>
  </w:font>
  <w:font w:name="Peterburg">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Proba Pro">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Baltica">
    <w:altName w:val="Arial"/>
    <w:panose1 w:val="020B7200000000000000"/>
    <w:charset w:val="00"/>
    <w:family w:val="swiss"/>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17C" w:rsidRDefault="00C7317C">
      <w:pPr>
        <w:spacing w:after="0" w:line="240" w:lineRule="auto"/>
      </w:pPr>
      <w:r>
        <w:separator/>
      </w:r>
    </w:p>
  </w:footnote>
  <w:footnote w:type="continuationSeparator" w:id="0">
    <w:p w:rsidR="00C7317C" w:rsidRDefault="00C73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B7" w:rsidRDefault="00756AEB" w:rsidP="000672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rsidR="002451B7" w:rsidRDefault="00C7317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B7" w:rsidRPr="00BB4219" w:rsidRDefault="00756AEB" w:rsidP="00BB4219">
    <w:pPr>
      <w:pStyle w:val="a3"/>
      <w:spacing w:after="120"/>
      <w:jc w:val="center"/>
      <w:rPr>
        <w:sz w:val="24"/>
        <w:szCs w:val="24"/>
        <w:lang w:val="uk-UA"/>
      </w:rPr>
    </w:pPr>
    <w:r w:rsidRPr="00BB4219">
      <w:rPr>
        <w:rStyle w:val="a5"/>
        <w:sz w:val="24"/>
        <w:szCs w:val="24"/>
      </w:rPr>
      <w:fldChar w:fldCharType="begin"/>
    </w:r>
    <w:r w:rsidRPr="00BB4219">
      <w:rPr>
        <w:rStyle w:val="a5"/>
        <w:sz w:val="24"/>
        <w:szCs w:val="24"/>
      </w:rPr>
      <w:instrText xml:space="preserve"> PAGE </w:instrText>
    </w:r>
    <w:r w:rsidRPr="00BB4219">
      <w:rPr>
        <w:rStyle w:val="a5"/>
        <w:sz w:val="24"/>
        <w:szCs w:val="24"/>
      </w:rPr>
      <w:fldChar w:fldCharType="separate"/>
    </w:r>
    <w:r w:rsidR="00337D38">
      <w:rPr>
        <w:rStyle w:val="a5"/>
        <w:noProof/>
        <w:sz w:val="24"/>
        <w:szCs w:val="24"/>
      </w:rPr>
      <w:t>4</w:t>
    </w:r>
    <w:r w:rsidRPr="00BB4219">
      <w:rPr>
        <w:rStyle w:val="a5"/>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AEB"/>
    <w:rsid w:val="00031BB9"/>
    <w:rsid w:val="00337D38"/>
    <w:rsid w:val="003B5C76"/>
    <w:rsid w:val="00512A2E"/>
    <w:rsid w:val="00667E31"/>
    <w:rsid w:val="00756AEB"/>
    <w:rsid w:val="007700C2"/>
    <w:rsid w:val="00807136"/>
    <w:rsid w:val="0091668A"/>
    <w:rsid w:val="00AB458B"/>
    <w:rsid w:val="00AF5C6E"/>
    <w:rsid w:val="00BA45A9"/>
    <w:rsid w:val="00C7317C"/>
    <w:rsid w:val="00E72CB5"/>
    <w:rsid w:val="00FB2A10"/>
    <w:rsid w:val="00FB41C3"/>
    <w:rsid w:val="00FE5F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FFF11B-7C18-4925-BD74-F070A987E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3">
    <w:name w:val="heading 3"/>
    <w:basedOn w:val="5"/>
    <w:next w:val="a"/>
    <w:link w:val="30"/>
    <w:qFormat/>
    <w:rsid w:val="00756AEB"/>
    <w:pPr>
      <w:keepNext/>
      <w:overflowPunct w:val="0"/>
      <w:autoSpaceDE w:val="0"/>
      <w:autoSpaceDN w:val="0"/>
      <w:adjustRightInd w:val="0"/>
      <w:spacing w:before="360" w:after="160" w:line="240" w:lineRule="auto"/>
      <w:jc w:val="center"/>
      <w:textAlignment w:val="baseline"/>
      <w:outlineLvl w:val="2"/>
    </w:pPr>
    <w:rPr>
      <w:rFonts w:ascii="FuturisExtra" w:eastAsia="Times New Roman" w:hAnsi="FuturisExtra" w:cs="Times New Roman"/>
      <w:b w:val="0"/>
      <w:bCs w:val="0"/>
      <w:i w:val="0"/>
      <w:iCs w:val="0"/>
      <w:spacing w:val="10"/>
      <w:szCs w:val="20"/>
      <w:lang w:eastAsia="ru-RU"/>
    </w:rPr>
  </w:style>
  <w:style w:type="paragraph" w:styleId="5">
    <w:name w:val="heading 5"/>
    <w:basedOn w:val="a"/>
    <w:next w:val="a"/>
    <w:link w:val="50"/>
    <w:uiPriority w:val="9"/>
    <w:semiHidden/>
    <w:unhideWhenUsed/>
    <w:qFormat/>
    <w:rsid w:val="00756AEB"/>
    <w:pPr>
      <w:spacing w:before="240" w:after="60"/>
      <w:outlineLvl w:val="4"/>
    </w:pPr>
    <w:rPr>
      <w:rFonts w:asciiTheme="minorHAnsi" w:eastAsiaTheme="minorEastAsia" w:hAnsiTheme="minorHAnsi" w:cstheme="minorBid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56AEB"/>
    <w:rPr>
      <w:rFonts w:ascii="FuturisExtra" w:eastAsia="Times New Roman" w:hAnsi="FuturisExtra"/>
      <w:spacing w:val="10"/>
      <w:sz w:val="26"/>
      <w:lang w:eastAsia="ru-RU"/>
    </w:rPr>
  </w:style>
  <w:style w:type="paragraph" w:customStyle="1" w:styleId="Ofisial">
    <w:name w:val="Ofisial"/>
    <w:basedOn w:val="a"/>
    <w:uiPriority w:val="99"/>
    <w:rsid w:val="00756AEB"/>
    <w:pPr>
      <w:spacing w:after="60" w:line="264" w:lineRule="auto"/>
      <w:ind w:firstLine="680"/>
      <w:jc w:val="both"/>
    </w:pPr>
    <w:rPr>
      <w:rFonts w:ascii="Peterburg" w:eastAsia="Times New Roman" w:hAnsi="Peterburg"/>
      <w:noProof/>
      <w:kern w:val="16"/>
      <w:sz w:val="28"/>
      <w:szCs w:val="20"/>
      <w:lang w:val="ru-RU" w:eastAsia="ru-RU"/>
    </w:rPr>
  </w:style>
  <w:style w:type="paragraph" w:customStyle="1" w:styleId="Table">
    <w:name w:val="Table"/>
    <w:basedOn w:val="a"/>
    <w:uiPriority w:val="99"/>
    <w:rsid w:val="00756AEB"/>
    <w:pPr>
      <w:spacing w:before="40" w:after="40" w:line="230" w:lineRule="auto"/>
      <w:jc w:val="both"/>
    </w:pPr>
    <w:rPr>
      <w:rFonts w:ascii="Times New Roman" w:eastAsia="Times New Roman" w:hAnsi="Times New Roman"/>
      <w:noProof/>
      <w:sz w:val="24"/>
      <w:szCs w:val="20"/>
      <w:lang w:val="ru-RU" w:eastAsia="ru-RU"/>
    </w:rPr>
  </w:style>
  <w:style w:type="paragraph" w:styleId="a3">
    <w:name w:val="header"/>
    <w:basedOn w:val="a"/>
    <w:link w:val="a4"/>
    <w:uiPriority w:val="99"/>
    <w:rsid w:val="00756AEB"/>
    <w:pPr>
      <w:tabs>
        <w:tab w:val="center" w:pos="4819"/>
        <w:tab w:val="right" w:pos="9639"/>
      </w:tabs>
      <w:spacing w:after="0" w:line="240" w:lineRule="auto"/>
    </w:pPr>
    <w:rPr>
      <w:rFonts w:ascii="Times New Roman" w:eastAsia="Times New Roman" w:hAnsi="Times New Roman"/>
      <w:sz w:val="20"/>
      <w:szCs w:val="20"/>
      <w:lang w:val="ru-RU" w:eastAsia="ru-RU"/>
    </w:rPr>
  </w:style>
  <w:style w:type="character" w:customStyle="1" w:styleId="a4">
    <w:name w:val="Верхній колонтитул Знак"/>
    <w:basedOn w:val="a0"/>
    <w:link w:val="a3"/>
    <w:uiPriority w:val="99"/>
    <w:rsid w:val="00756AEB"/>
    <w:rPr>
      <w:rFonts w:ascii="Times New Roman" w:eastAsia="Times New Roman" w:hAnsi="Times New Roman"/>
      <w:lang w:val="ru-RU" w:eastAsia="ru-RU"/>
    </w:rPr>
  </w:style>
  <w:style w:type="character" w:styleId="a5">
    <w:name w:val="page number"/>
    <w:rsid w:val="00756AEB"/>
  </w:style>
  <w:style w:type="character" w:customStyle="1" w:styleId="50">
    <w:name w:val="Заголовок 5 Знак"/>
    <w:basedOn w:val="a0"/>
    <w:link w:val="5"/>
    <w:uiPriority w:val="9"/>
    <w:semiHidden/>
    <w:rsid w:val="00756AEB"/>
    <w:rPr>
      <w:rFonts w:asciiTheme="minorHAnsi" w:eastAsiaTheme="minorEastAsia" w:hAnsiTheme="minorHAnsi" w:cstheme="minorBidi"/>
      <w:b/>
      <w:bCs/>
      <w:i/>
      <w:iCs/>
      <w:sz w:val="26"/>
      <w:szCs w:val="26"/>
      <w:lang w:eastAsia="en-US"/>
    </w:rPr>
  </w:style>
  <w:style w:type="character" w:styleId="a6">
    <w:name w:val="Hyperlink"/>
    <w:uiPriority w:val="99"/>
    <w:semiHidden/>
    <w:unhideWhenUsed/>
    <w:rsid w:val="00756AEB"/>
    <w:rPr>
      <w:color w:val="0000FF"/>
      <w:u w:val="single"/>
    </w:rPr>
  </w:style>
  <w:style w:type="character" w:styleId="a7">
    <w:name w:val="FollowedHyperlink"/>
    <w:basedOn w:val="a0"/>
    <w:uiPriority w:val="99"/>
    <w:semiHidden/>
    <w:unhideWhenUsed/>
    <w:rsid w:val="00756AEB"/>
    <w:rPr>
      <w:color w:val="954F72" w:themeColor="followedHyperlink"/>
      <w:u w:val="single"/>
    </w:rPr>
  </w:style>
  <w:style w:type="paragraph" w:styleId="a8">
    <w:name w:val="Balloon Text"/>
    <w:basedOn w:val="a"/>
    <w:link w:val="a9"/>
    <w:uiPriority w:val="99"/>
    <w:semiHidden/>
    <w:unhideWhenUsed/>
    <w:rsid w:val="00337D3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337D3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4793</Words>
  <Characters>2733</Characters>
  <Application>Microsoft Office Word</Application>
  <DocSecurity>0</DocSecurity>
  <Lines>22</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Рудакова Лариса Миколаївна</dc:creator>
  <cp:keywords/>
  <dc:description/>
  <cp:lastModifiedBy>Лілейко Надія Романівна</cp:lastModifiedBy>
  <cp:revision>2</cp:revision>
  <cp:lastPrinted>2021-09-17T08:58:00Z</cp:lastPrinted>
  <dcterms:created xsi:type="dcterms:W3CDTF">2021-09-17T09:00:00Z</dcterms:created>
  <dcterms:modified xsi:type="dcterms:W3CDTF">2021-09-17T09:00:00Z</dcterms:modified>
</cp:coreProperties>
</file>