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2BB98F" w14:textId="77777777" w:rsidR="00C007F3" w:rsidRPr="00661196" w:rsidRDefault="00124643" w:rsidP="00295943">
      <w:pPr>
        <w:pStyle w:val="1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661196">
        <w:rPr>
          <w:rStyle w:val="rvts15"/>
          <w:rFonts w:ascii="Times New Roman" w:hAnsi="Times New Roman"/>
          <w:b/>
          <w:sz w:val="24"/>
          <w:szCs w:val="24"/>
        </w:rPr>
        <w:t>ПОРІВНЯЛЬНА ТАБЛИЦЯ</w:t>
      </w:r>
      <w:r w:rsidRPr="00661196">
        <w:rPr>
          <w:rStyle w:val="rvts15"/>
          <w:rFonts w:ascii="Times New Roman" w:hAnsi="Times New Roman"/>
          <w:sz w:val="24"/>
          <w:szCs w:val="24"/>
        </w:rPr>
        <w:t xml:space="preserve"> </w:t>
      </w:r>
      <w:r w:rsidRPr="00661196">
        <w:rPr>
          <w:rFonts w:ascii="Times New Roman" w:hAnsi="Times New Roman"/>
          <w:sz w:val="24"/>
          <w:szCs w:val="24"/>
        </w:rPr>
        <w:br/>
      </w:r>
      <w:r w:rsidR="00F06611" w:rsidRPr="00661196">
        <w:rPr>
          <w:rFonts w:ascii="Times New Roman" w:hAnsi="Times New Roman"/>
          <w:b/>
          <w:sz w:val="24"/>
          <w:szCs w:val="24"/>
        </w:rPr>
        <w:t xml:space="preserve">до </w:t>
      </w:r>
      <w:bookmarkStart w:id="1" w:name="_Hlk46137491"/>
      <w:r w:rsidR="00F06611" w:rsidRPr="00661196">
        <w:rPr>
          <w:rFonts w:ascii="Times New Roman" w:hAnsi="Times New Roman"/>
          <w:b/>
          <w:sz w:val="24"/>
          <w:szCs w:val="24"/>
        </w:rPr>
        <w:t>про</w:t>
      </w:r>
      <w:r w:rsidR="00E30CB1" w:rsidRPr="00661196">
        <w:rPr>
          <w:rFonts w:ascii="Times New Roman" w:hAnsi="Times New Roman"/>
          <w:b/>
          <w:sz w:val="24"/>
          <w:szCs w:val="24"/>
        </w:rPr>
        <w:t>є</w:t>
      </w:r>
      <w:r w:rsidR="00F06611" w:rsidRPr="00661196">
        <w:rPr>
          <w:rFonts w:ascii="Times New Roman" w:hAnsi="Times New Roman"/>
          <w:b/>
          <w:sz w:val="24"/>
          <w:szCs w:val="24"/>
        </w:rPr>
        <w:t xml:space="preserve">кту </w:t>
      </w:r>
      <w:r w:rsidR="001D6405" w:rsidRPr="00661196">
        <w:rPr>
          <w:rFonts w:ascii="Times New Roman" w:hAnsi="Times New Roman"/>
          <w:b/>
          <w:sz w:val="24"/>
          <w:szCs w:val="24"/>
        </w:rPr>
        <w:t>Закону</w:t>
      </w:r>
      <w:r w:rsidR="00F06611" w:rsidRPr="00661196">
        <w:rPr>
          <w:rFonts w:ascii="Times New Roman" w:hAnsi="Times New Roman"/>
          <w:b/>
          <w:sz w:val="24"/>
          <w:szCs w:val="24"/>
        </w:rPr>
        <w:t xml:space="preserve"> України </w:t>
      </w:r>
      <w:bookmarkEnd w:id="1"/>
      <w:r w:rsidR="00C007F3" w:rsidRPr="00661196">
        <w:rPr>
          <w:rFonts w:ascii="Times New Roman" w:hAnsi="Times New Roman"/>
          <w:b/>
          <w:bCs/>
          <w:sz w:val="24"/>
          <w:szCs w:val="24"/>
        </w:rPr>
        <w:t>"</w:t>
      </w:r>
      <w:r w:rsidR="001D6405" w:rsidRPr="00661196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="00295943" w:rsidRPr="00661196">
        <w:rPr>
          <w:rFonts w:ascii="Times New Roman" w:hAnsi="Times New Roman"/>
          <w:b/>
          <w:bCs/>
          <w:sz w:val="24"/>
          <w:szCs w:val="24"/>
        </w:rPr>
        <w:t>антидопінгову діяльність у спорті</w:t>
      </w:r>
      <w:r w:rsidR="00C007F3" w:rsidRPr="00661196">
        <w:rPr>
          <w:rFonts w:ascii="Times New Roman" w:hAnsi="Times New Roman"/>
          <w:b/>
          <w:bCs/>
          <w:sz w:val="24"/>
          <w:szCs w:val="24"/>
        </w:rPr>
        <w:t>"</w:t>
      </w:r>
    </w:p>
    <w:p w14:paraId="787A6FBF" w14:textId="77777777" w:rsidR="00F80433" w:rsidRPr="00661196" w:rsidRDefault="00F80433" w:rsidP="00C530E9">
      <w:pPr>
        <w:rPr>
          <w:b/>
          <w:lang w:val="uk-UA"/>
        </w:rPr>
      </w:pP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3" w:type="dxa"/>
          <w:left w:w="13" w:type="dxa"/>
          <w:bottom w:w="13" w:type="dxa"/>
          <w:right w:w="13" w:type="dxa"/>
        </w:tblCellMar>
        <w:tblLook w:val="0000" w:firstRow="0" w:lastRow="0" w:firstColumn="0" w:lastColumn="0" w:noHBand="0" w:noVBand="0"/>
      </w:tblPr>
      <w:tblGrid>
        <w:gridCol w:w="4221"/>
        <w:gridCol w:w="6614"/>
        <w:gridCol w:w="4218"/>
      </w:tblGrid>
      <w:tr w:rsidR="00CF7842" w:rsidRPr="00661196" w14:paraId="3177138F" w14:textId="77777777" w:rsidTr="00A02B9B">
        <w:tc>
          <w:tcPr>
            <w:tcW w:w="1402" w:type="pct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14:paraId="0C1DF990" w14:textId="77777777" w:rsidR="00CF7842" w:rsidRPr="00661196" w:rsidRDefault="00CF7842" w:rsidP="00A26FB7">
            <w:pPr>
              <w:pStyle w:val="rvps12"/>
              <w:jc w:val="center"/>
              <w:rPr>
                <w:lang w:val="uk-UA"/>
              </w:rPr>
            </w:pPr>
            <w:bookmarkStart w:id="2" w:name="n986"/>
            <w:bookmarkEnd w:id="2"/>
            <w:r w:rsidRPr="00661196">
              <w:rPr>
                <w:lang w:val="uk-UA"/>
              </w:rPr>
              <w:t>Зміст положення акта законодавства</w:t>
            </w:r>
          </w:p>
        </w:tc>
        <w:tc>
          <w:tcPr>
            <w:tcW w:w="2197" w:type="pct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14:paraId="74FBB07F" w14:textId="77777777" w:rsidR="00CF7842" w:rsidRPr="00661196" w:rsidRDefault="00CF7842" w:rsidP="00A26FB7">
            <w:pPr>
              <w:pStyle w:val="rvps12"/>
              <w:jc w:val="center"/>
              <w:rPr>
                <w:lang w:val="uk-UA"/>
              </w:rPr>
            </w:pPr>
            <w:r w:rsidRPr="00661196">
              <w:rPr>
                <w:lang w:val="uk-UA"/>
              </w:rPr>
              <w:t>Зміст відповідного положення про</w:t>
            </w:r>
            <w:r w:rsidR="005305D4" w:rsidRPr="00661196">
              <w:rPr>
                <w:lang w:val="uk-UA"/>
              </w:rPr>
              <w:t>є</w:t>
            </w:r>
            <w:r w:rsidRPr="00661196">
              <w:rPr>
                <w:lang w:val="uk-UA"/>
              </w:rPr>
              <w:t>кту акта</w:t>
            </w:r>
          </w:p>
        </w:tc>
        <w:tc>
          <w:tcPr>
            <w:tcW w:w="1401" w:type="pct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14:paraId="76AEF843" w14:textId="77777777" w:rsidR="00CF7842" w:rsidRPr="00661196" w:rsidRDefault="00D9015F" w:rsidP="00A26FB7">
            <w:pPr>
              <w:pStyle w:val="rvps12"/>
              <w:jc w:val="center"/>
              <w:rPr>
                <w:lang w:val="uk-UA"/>
              </w:rPr>
            </w:pPr>
            <w:r w:rsidRPr="00661196">
              <w:rPr>
                <w:lang w:val="uk-UA"/>
              </w:rPr>
              <w:t>Пояснення змін</w:t>
            </w:r>
          </w:p>
        </w:tc>
      </w:tr>
      <w:tr w:rsidR="00467DA6" w:rsidRPr="00661196" w14:paraId="769470BF" w14:textId="77777777" w:rsidTr="00A02B9B">
        <w:tc>
          <w:tcPr>
            <w:tcW w:w="5000" w:type="pct"/>
            <w:gridSpan w:val="3"/>
            <w:tcBorders>
              <w:top w:val="outset" w:sz="4" w:space="0" w:color="000000"/>
              <w:left w:val="outset" w:sz="4" w:space="0" w:color="000000"/>
              <w:bottom w:val="single" w:sz="4" w:space="0" w:color="000000"/>
              <w:right w:val="outset" w:sz="4" w:space="0" w:color="000000"/>
            </w:tcBorders>
          </w:tcPr>
          <w:p w14:paraId="40361A1C" w14:textId="77777777" w:rsidR="00295943" w:rsidRPr="00661196" w:rsidRDefault="00295943" w:rsidP="00295943">
            <w:pPr>
              <w:ind w:right="125"/>
              <w:jc w:val="center"/>
              <w:rPr>
                <w:lang w:val="uk-UA"/>
              </w:rPr>
            </w:pPr>
            <w:r w:rsidRPr="00661196">
              <w:rPr>
                <w:lang w:val="uk-UA"/>
              </w:rPr>
              <w:t>Закон України "Про фізичну культуру та спорт"</w:t>
            </w:r>
          </w:p>
        </w:tc>
      </w:tr>
      <w:tr w:rsidR="00295943" w:rsidRPr="00661196" w14:paraId="1AA56A41" w14:textId="77777777" w:rsidTr="00A02B9B">
        <w:tc>
          <w:tcPr>
            <w:tcW w:w="1402" w:type="pct"/>
            <w:tcBorders>
              <w:top w:val="outset" w:sz="4" w:space="0" w:color="000000"/>
              <w:left w:val="outset" w:sz="4" w:space="0" w:color="000000"/>
              <w:bottom w:val="single" w:sz="4" w:space="0" w:color="000000"/>
              <w:right w:val="outset" w:sz="4" w:space="0" w:color="000000"/>
            </w:tcBorders>
          </w:tcPr>
          <w:p w14:paraId="37B641A7" w14:textId="77777777" w:rsidR="00295943" w:rsidRPr="00661196" w:rsidRDefault="00295943" w:rsidP="00295943">
            <w:pPr>
              <w:pStyle w:val="rvps12"/>
              <w:spacing w:before="0" w:beforeAutospacing="0" w:after="0" w:afterAutospacing="0"/>
              <w:ind w:left="142" w:right="119" w:firstLine="284"/>
              <w:jc w:val="both"/>
              <w:rPr>
                <w:lang w:val="uk-UA"/>
              </w:rPr>
            </w:pPr>
            <w:r w:rsidRPr="00661196">
              <w:rPr>
                <w:b/>
                <w:bCs/>
                <w:shd w:val="clear" w:color="auto" w:fill="FFFFFF"/>
                <w:lang w:val="uk-UA"/>
              </w:rPr>
              <w:t>Стаття 52. </w:t>
            </w:r>
            <w:r w:rsidRPr="00661196">
              <w:rPr>
                <w:shd w:val="clear" w:color="auto" w:fill="FFFFFF"/>
                <w:lang w:val="uk-UA"/>
              </w:rPr>
              <w:t>Антидопінгова діяльність у сфері фізичної культури і спорту</w:t>
            </w:r>
          </w:p>
          <w:p w14:paraId="66017DA8" w14:textId="77777777" w:rsidR="00295943" w:rsidRPr="00661196" w:rsidRDefault="00295943" w:rsidP="00295943">
            <w:pPr>
              <w:pStyle w:val="rvps12"/>
              <w:spacing w:before="0" w:beforeAutospacing="0" w:after="0" w:afterAutospacing="0"/>
              <w:ind w:left="142" w:right="119" w:firstLine="284"/>
              <w:jc w:val="both"/>
              <w:rPr>
                <w:shd w:val="clear" w:color="auto" w:fill="FFFFFF"/>
                <w:lang w:val="uk-UA"/>
              </w:rPr>
            </w:pPr>
            <w:r w:rsidRPr="00661196">
              <w:rPr>
                <w:shd w:val="clear" w:color="auto" w:fill="FFFFFF"/>
                <w:lang w:val="uk-UA"/>
              </w:rPr>
              <w:t>Антидопінгова діяльність у сфері фізичної культури і спорту здійснюється відповідно до закону та міжнародних договорів України.</w:t>
            </w:r>
          </w:p>
          <w:p w14:paraId="623E75A3" w14:textId="77777777" w:rsidR="00295943" w:rsidRPr="00661196" w:rsidRDefault="00295943" w:rsidP="00295943">
            <w:pPr>
              <w:pStyle w:val="rvps12"/>
              <w:spacing w:before="0" w:beforeAutospacing="0" w:after="0" w:afterAutospacing="0"/>
              <w:ind w:left="142" w:right="119" w:firstLine="284"/>
              <w:jc w:val="both"/>
              <w:rPr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2197" w:type="pct"/>
            <w:tcBorders>
              <w:top w:val="outset" w:sz="4" w:space="0" w:color="000000"/>
              <w:left w:val="outset" w:sz="4" w:space="0" w:color="000000"/>
              <w:bottom w:val="single" w:sz="4" w:space="0" w:color="000000"/>
              <w:right w:val="outset" w:sz="4" w:space="0" w:color="000000"/>
            </w:tcBorders>
          </w:tcPr>
          <w:p w14:paraId="1133E5BB" w14:textId="77777777" w:rsidR="00295943" w:rsidRPr="00661196" w:rsidRDefault="00295943" w:rsidP="00295943">
            <w:pPr>
              <w:pStyle w:val="rvps12"/>
              <w:tabs>
                <w:tab w:val="left" w:pos="5776"/>
              </w:tabs>
              <w:spacing w:before="0" w:beforeAutospacing="0" w:after="0" w:afterAutospacing="0"/>
              <w:ind w:left="136" w:right="270" w:firstLine="283"/>
              <w:jc w:val="both"/>
              <w:rPr>
                <w:lang w:val="uk-UA"/>
              </w:rPr>
            </w:pPr>
            <w:r w:rsidRPr="00661196">
              <w:rPr>
                <w:b/>
                <w:bCs/>
                <w:shd w:val="clear" w:color="auto" w:fill="FFFFFF"/>
                <w:lang w:val="uk-UA"/>
              </w:rPr>
              <w:t>Стаття 52. </w:t>
            </w:r>
            <w:r w:rsidRPr="00661196">
              <w:rPr>
                <w:shd w:val="clear" w:color="auto" w:fill="FFFFFF"/>
                <w:lang w:val="uk-UA"/>
              </w:rPr>
              <w:t>Антидопінгова діяльність у сфері фізичної культури і спорту</w:t>
            </w:r>
          </w:p>
          <w:p w14:paraId="0F00DF8C" w14:textId="77777777" w:rsidR="00295943" w:rsidRPr="00661196" w:rsidRDefault="00295943" w:rsidP="00295943">
            <w:pPr>
              <w:tabs>
                <w:tab w:val="left" w:pos="5776"/>
              </w:tabs>
              <w:ind w:left="136" w:right="177" w:firstLine="283"/>
              <w:jc w:val="both"/>
              <w:rPr>
                <w:lang w:val="uk-UA" w:eastAsia="en-US"/>
              </w:rPr>
            </w:pPr>
            <w:r w:rsidRPr="00661196">
              <w:rPr>
                <w:shd w:val="clear" w:color="auto" w:fill="FFFFFF"/>
                <w:lang w:val="uk-UA"/>
              </w:rPr>
              <w:t>Антидопінгова діяльність у сфері фізичної культури і спорту здійснюється відповідно до закону та міжнародних договорів України.</w:t>
            </w:r>
          </w:p>
          <w:p w14:paraId="2F8CC292" w14:textId="77777777" w:rsidR="00295943" w:rsidRPr="00661196" w:rsidRDefault="00295943" w:rsidP="00705FAE">
            <w:pPr>
              <w:pStyle w:val="rvps12"/>
              <w:spacing w:before="0" w:beforeAutospacing="0" w:after="0" w:afterAutospacing="0"/>
              <w:jc w:val="center"/>
              <w:rPr>
                <w:b/>
                <w:bCs/>
                <w:shd w:val="clear" w:color="auto" w:fill="FFFFFF"/>
                <w:lang w:val="uk-UA"/>
              </w:rPr>
            </w:pPr>
          </w:p>
        </w:tc>
        <w:tc>
          <w:tcPr>
            <w:tcW w:w="1401" w:type="pct"/>
            <w:tcBorders>
              <w:top w:val="outset" w:sz="4" w:space="0" w:color="000000"/>
              <w:left w:val="outset" w:sz="4" w:space="0" w:color="000000"/>
              <w:bottom w:val="single" w:sz="4" w:space="0" w:color="000000"/>
              <w:right w:val="outset" w:sz="4" w:space="0" w:color="000000"/>
            </w:tcBorders>
          </w:tcPr>
          <w:p w14:paraId="4611242B" w14:textId="77777777" w:rsidR="00295943" w:rsidRPr="00661196" w:rsidRDefault="00295943" w:rsidP="00CD6813">
            <w:pPr>
              <w:ind w:right="125"/>
              <w:jc w:val="both"/>
              <w:rPr>
                <w:lang w:val="uk-UA"/>
              </w:rPr>
            </w:pPr>
          </w:p>
        </w:tc>
      </w:tr>
      <w:tr w:rsidR="00467DA6" w:rsidRPr="00A14D81" w14:paraId="66B044A3" w14:textId="77777777" w:rsidTr="00BF38E1">
        <w:trPr>
          <w:trHeight w:val="560"/>
        </w:trPr>
        <w:tc>
          <w:tcPr>
            <w:tcW w:w="1402" w:type="pct"/>
            <w:tcBorders>
              <w:top w:val="outset" w:sz="4" w:space="0" w:color="000000"/>
              <w:left w:val="outset" w:sz="4" w:space="0" w:color="000000"/>
              <w:bottom w:val="single" w:sz="4" w:space="0" w:color="000000"/>
              <w:right w:val="outset" w:sz="4" w:space="0" w:color="000000"/>
            </w:tcBorders>
          </w:tcPr>
          <w:p w14:paraId="56E9F0EA" w14:textId="77777777" w:rsidR="008A0F8D" w:rsidRPr="00661196" w:rsidRDefault="00CD6813" w:rsidP="00295943">
            <w:pPr>
              <w:pStyle w:val="rvps12"/>
              <w:spacing w:before="0" w:beforeAutospacing="0" w:after="0" w:afterAutospacing="0"/>
              <w:ind w:left="142" w:right="119"/>
              <w:jc w:val="both"/>
              <w:rPr>
                <w:lang w:val="uk-UA"/>
              </w:rPr>
            </w:pPr>
            <w:r w:rsidRPr="00661196">
              <w:rPr>
                <w:b/>
                <w:bCs/>
                <w:lang w:val="uk-UA"/>
              </w:rPr>
              <w:t xml:space="preserve">Частини </w:t>
            </w:r>
            <w:r w:rsidR="00705FAE" w:rsidRPr="00661196">
              <w:rPr>
                <w:b/>
                <w:bCs/>
                <w:lang w:val="uk-UA"/>
              </w:rPr>
              <w:t>відсутн</w:t>
            </w:r>
            <w:r w:rsidRPr="00661196">
              <w:rPr>
                <w:b/>
                <w:bCs/>
                <w:lang w:val="uk-UA"/>
              </w:rPr>
              <w:t>і</w:t>
            </w:r>
          </w:p>
        </w:tc>
        <w:tc>
          <w:tcPr>
            <w:tcW w:w="2197" w:type="pct"/>
            <w:tcBorders>
              <w:top w:val="outset" w:sz="4" w:space="0" w:color="000000"/>
              <w:left w:val="outset" w:sz="4" w:space="0" w:color="000000"/>
              <w:bottom w:val="single" w:sz="4" w:space="0" w:color="000000"/>
              <w:right w:val="outset" w:sz="4" w:space="0" w:color="000000"/>
            </w:tcBorders>
          </w:tcPr>
          <w:p w14:paraId="67CC2EC7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“Центральним органом виконавчої влади, що забезпечує формування та реалізує державну політику у сфері фізичної культури і спорту, утворюється та забезпечується діяльність державної установи “Національна лабораторія антидопінгового контролю” (далі — Національна лабораторія), придатної для акредитації ВАДА відповідно до Міжнародного стандарту для лабораторій.</w:t>
            </w:r>
          </w:p>
          <w:p w14:paraId="1F2B661B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Основними завданнями Національної лабораторії є:</w:t>
            </w:r>
          </w:p>
          <w:p w14:paraId="5EF8DD2B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реалізація відповідних програм досліджень і розробок, що використовуються або можуть використовуватися для цілей запобігання допінгу у спорті, а також у галузі аналітичної біохімії та фармакології з метою кращого розуміння впливу різних препаратів на людський організм та їх наслідків для спортивних результатів;</w:t>
            </w:r>
          </w:p>
          <w:p w14:paraId="0C499FC7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опублікування нових даних, отриманих під час досліджень.</w:t>
            </w:r>
          </w:p>
          <w:p w14:paraId="7F835102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Національну лабораторію очолює директор.</w:t>
            </w:r>
          </w:p>
          <w:p w14:paraId="6BC7B103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Особливості діяльності та умови оплати праці працівників Національної лабораторії визначаються Кабінетом Міністрів України.</w:t>
            </w:r>
          </w:p>
          <w:p w14:paraId="66DEA085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Фінансування Національної лабораторії здійснюється за рахунок коштів державного бюджету, інших джерел, не заборонених законодавством.</w:t>
            </w:r>
          </w:p>
          <w:p w14:paraId="05C105D5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Нагляд за діяльністю Національної лабораторії здійснює Наглядова рада Національної лабораторії </w:t>
            </w: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антидопінгового контролю (далі — Наглядова рада), яка є дорадчим органом та діє в межах повноважень, визначених цим Законом.</w:t>
            </w:r>
          </w:p>
          <w:p w14:paraId="590964FD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Наглядова рада:</w:t>
            </w:r>
          </w:p>
          <w:p w14:paraId="587428FB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обирає із свого складу на п’ять років голову, заступника голови та секретаря Наглядової ради, приймає рішення про припинення їх повноважень;</w:t>
            </w:r>
          </w:p>
          <w:p w14:paraId="7B5514AC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організовує проведення конкурсу на посаду директора Національної лабораторії;</w:t>
            </w:r>
          </w:p>
          <w:p w14:paraId="0A07157B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рекомендує центральному органу виконавчої влади, що забезпечує формування та реалізує державну політику у сфері фізичної культури і спорту, кандидатуру на посаду директора Національної лабораторії;</w:t>
            </w:r>
          </w:p>
          <w:p w14:paraId="4CCFC110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надає рекомендацію центральному органу виконавчої влади, що забезпечує формування та реалізує державну політику у сфері фізичної культури і спорту, щодо дострокового припинення повноважень директора Національної лабораторії;</w:t>
            </w:r>
          </w:p>
          <w:p w14:paraId="592E5130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затверджує щорічний звіт про діяльність Національної лабораторії.</w:t>
            </w:r>
          </w:p>
          <w:p w14:paraId="60ED7820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Організаційною формою діяльності Наглядової ради є засідання, яке вважається правоможним, якщо на ньому присутні дві третини її членів. Усі рішення ухвалюються більшістю голосів від загального складу Наглядової ради.</w:t>
            </w:r>
          </w:p>
          <w:p w14:paraId="11264DBA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Наглядова рада складається з п’яти членів та формується в такому складі:</w:t>
            </w:r>
          </w:p>
          <w:p w14:paraId="058093D8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два представники від сфери фізичної культури і спорту (один за поданням комітету Верховної Ради України, до компетенції якого належать питання щодо фізичної культури і спорту, один за поданням центрального органу виконавчої влади, що забезпечує формування та реалізує державну політику у сфері фізичної культури і спорту);</w:t>
            </w:r>
          </w:p>
          <w:p w14:paraId="30B46C95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особа, яка є кваліфікованим спеціалістом у сфері медицини (за поданням Національної академії медичних наук України);</w:t>
            </w:r>
          </w:p>
          <w:p w14:paraId="14B662ED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особа, яка є кваліфікованим спеціалістом у сфері фізіології людини (за поданням Національної академії наук України);</w:t>
            </w:r>
          </w:p>
          <w:p w14:paraId="33FDECEC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особа, яка є кваліфікованим спеціалістом у сфері аналітичної хімії (за поданням Київського національного університету імені Тараса Шевченка).</w:t>
            </w:r>
          </w:p>
          <w:p w14:paraId="2F76F6DF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Склад та положення про Наглядову раду затверджуються Кабінетом Міністрів України.</w:t>
            </w:r>
          </w:p>
          <w:p w14:paraId="01E99A63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Суб’єкт, який делегував свого представника до Наглядової ради, має право відкликати його достроково в разі:</w:t>
            </w:r>
          </w:p>
          <w:p w14:paraId="79D4857A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наявності письмового повідомлення представника про його бажання скласти повноваження члена Наглядової ради;</w:t>
            </w:r>
          </w:p>
          <w:p w14:paraId="69119E65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неможливості виконання обов’язків члена Наглядової ради за станом здоров’я;</w:t>
            </w:r>
          </w:p>
          <w:p w14:paraId="63F66A05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звільнення із займаної посади в суб’єкті, який делегував свого представника.</w:t>
            </w:r>
          </w:p>
          <w:p w14:paraId="7F4E4024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Строк повноважень членів Наглядової ради становить п’ять років. Одна і та сама особа може бути призначена членом Наглядової ради на два строки поспіль.</w:t>
            </w:r>
          </w:p>
          <w:p w14:paraId="77FFAEB8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До складу Наглядової ради не може входити особа, яка:</w:t>
            </w:r>
          </w:p>
          <w:p w14:paraId="26DEBC9C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за рішенням суду визнана недієздатною або дієздатність якої обмежена;</w:t>
            </w:r>
          </w:p>
          <w:p w14:paraId="49F67893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має судимість за вчинення умисного кримінального правопорушення, якщо така судимість не погашена або не знята в установленому законом порядку;</w:t>
            </w:r>
          </w:p>
          <w:p w14:paraId="0F7C7952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відповідно до рішення суду позбавлена права обіймати певні посади або займатися певною діяльністю;</w:t>
            </w:r>
          </w:p>
          <w:p w14:paraId="3546F111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за рішенням суду визнана винною у вчиненні корупційного правопорушення — протягом року з дня набрання відповідним рішенням суду законної сили;</w:t>
            </w:r>
          </w:p>
          <w:p w14:paraId="7D9AEE71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піддавалася адміністративному стягненню за правопорушення, пов’язане з корупцією, — протягом року з дня набрання відповідним рішенням суду законної сили;</w:t>
            </w:r>
          </w:p>
          <w:p w14:paraId="3BBA5A04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є спортсменом, спортивна кар’єра якого не припинена/зупинена, чи є тренером такого спортсмена, або має інший реальний або потенційний конфлікт інтересів;</w:t>
            </w:r>
          </w:p>
          <w:p w14:paraId="771C13C2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за рішенням антидопінгової організації визнана винною в порушенні антидопінгових правил;</w:t>
            </w:r>
          </w:p>
          <w:p w14:paraId="0B2EDE2F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займає будь-яку посаду в спортивній федерації.</w:t>
            </w:r>
          </w:p>
          <w:p w14:paraId="200E6959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Повноваження члена Наглядової ради припиняються Кабінетом Міністрів України в разі:</w:t>
            </w:r>
          </w:p>
          <w:p w14:paraId="63EC3E9E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закінчення строку, на який його затверджено або делеговано;</w:t>
            </w:r>
          </w:p>
          <w:p w14:paraId="792B1195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подання ним особисто заяви про складення повноважень;</w:t>
            </w:r>
          </w:p>
          <w:p w14:paraId="044E6756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набрання законної сили обвинувальним вироком щодо нього;</w:t>
            </w:r>
          </w:p>
          <w:p w14:paraId="4EDEF86D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припинення ним громадянства України;</w:t>
            </w:r>
          </w:p>
          <w:p w14:paraId="5AED518D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визнання його безвісно відсутнім або оголошення померлим;</w:t>
            </w:r>
          </w:p>
          <w:p w14:paraId="5D5E73E6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смерті;</w:t>
            </w:r>
          </w:p>
          <w:p w14:paraId="0B912B0E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виявлення обмежень, визначених попередньою частиною цієї статті;</w:t>
            </w:r>
          </w:p>
          <w:p w14:paraId="5B2D6C29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відкликання суб’єктом, який його делегував.</w:t>
            </w:r>
          </w:p>
          <w:p w14:paraId="789B43F2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Члени Наглядової ради беруть зобов’язання щодо неупередженості та незалежності у прийнятті рішень та запобігання конфлікту інтересів. Члени Наглядової ради зобов’язані повідомляти письмово голові про наявність у них будь-якого конфлікту інтересів перед кожним своїм засіданням.”.</w:t>
            </w:r>
          </w:p>
          <w:p w14:paraId="778AA00F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4. Кабінету Міністрів України протягом трьох місяців з дня набрання чинності цим Законом:</w:t>
            </w:r>
          </w:p>
          <w:p w14:paraId="1C2B571D" w14:textId="77777777" w:rsidR="00BF38E1" w:rsidRPr="00661196" w:rsidRDefault="00BF38E1" w:rsidP="00BF38E1">
            <w:pPr>
              <w:pStyle w:val="a4"/>
              <w:spacing w:before="0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196">
              <w:rPr>
                <w:rFonts w:ascii="Times New Roman" w:hAnsi="Times New Roman"/>
                <w:b/>
                <w:bCs/>
                <w:sz w:val="24"/>
                <w:szCs w:val="24"/>
              </w:rPr>
              <w:t>1) привести свої нормативно-правові акти у відповідність із цим Законом;</w:t>
            </w:r>
          </w:p>
          <w:p w14:paraId="45B9AA28" w14:textId="77777777" w:rsidR="00295943" w:rsidRPr="00661196" w:rsidRDefault="00BF38E1" w:rsidP="00BF38E1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lang w:val="uk-UA"/>
              </w:rPr>
            </w:pPr>
            <w:r w:rsidRPr="00661196">
              <w:rPr>
                <w:b/>
                <w:bCs/>
                <w:lang w:val="uk-UA"/>
              </w:rPr>
              <w:t>2) забезпечити перегляд і скасування міністерствами та іншими центральними органами виконавчої влади їх нормативно-правових актів, що суперечать цьому Закону.”</w:t>
            </w:r>
          </w:p>
        </w:tc>
        <w:tc>
          <w:tcPr>
            <w:tcW w:w="1401" w:type="pct"/>
            <w:tcBorders>
              <w:top w:val="outset" w:sz="4" w:space="0" w:color="000000"/>
              <w:left w:val="outset" w:sz="4" w:space="0" w:color="000000"/>
              <w:bottom w:val="single" w:sz="4" w:space="0" w:color="000000"/>
              <w:right w:val="outset" w:sz="4" w:space="0" w:color="000000"/>
            </w:tcBorders>
          </w:tcPr>
          <w:p w14:paraId="7EC1AA54" w14:textId="77777777" w:rsidR="002A50A0" w:rsidRPr="00661196" w:rsidRDefault="00CD6813" w:rsidP="00295943">
            <w:pPr>
              <w:pStyle w:val="1"/>
              <w:spacing w:after="0" w:line="240" w:lineRule="auto"/>
              <w:ind w:left="126" w:right="125" w:firstLine="409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uk-UA"/>
              </w:rPr>
            </w:pPr>
            <w:r w:rsidRPr="00661196">
              <w:rPr>
                <w:rFonts w:ascii="Times New Roman" w:hAnsi="Times New Roman"/>
                <w:kern w:val="1"/>
                <w:sz w:val="24"/>
                <w:szCs w:val="24"/>
                <w:lang w:eastAsia="uk-UA"/>
              </w:rPr>
              <w:lastRenderedPageBreak/>
              <w:t>Внесення змін</w:t>
            </w:r>
            <w:r w:rsidR="009D3A4B" w:rsidRPr="00661196">
              <w:rPr>
                <w:rFonts w:ascii="Times New Roman" w:hAnsi="Times New Roman"/>
                <w:kern w:val="1"/>
                <w:sz w:val="24"/>
                <w:szCs w:val="24"/>
                <w:lang w:eastAsia="uk-UA"/>
              </w:rPr>
              <w:t xml:space="preserve"> до </w:t>
            </w:r>
            <w:r w:rsidR="009D3A4B" w:rsidRPr="00661196">
              <w:rPr>
                <w:rFonts w:ascii="Times New Roman" w:hAnsi="Times New Roman"/>
                <w:sz w:val="24"/>
                <w:szCs w:val="24"/>
              </w:rPr>
              <w:t xml:space="preserve">Закону України "Про фізичну культуру і спорт" </w:t>
            </w:r>
            <w:r w:rsidRPr="00661196">
              <w:rPr>
                <w:rFonts w:ascii="Times New Roman" w:hAnsi="Times New Roman"/>
                <w:kern w:val="1"/>
                <w:sz w:val="24"/>
                <w:szCs w:val="24"/>
                <w:lang w:eastAsia="uk-UA"/>
              </w:rPr>
              <w:t>спрямован</w:t>
            </w:r>
            <w:r w:rsidR="00011EC6" w:rsidRPr="00661196">
              <w:rPr>
                <w:rFonts w:ascii="Times New Roman" w:hAnsi="Times New Roman"/>
                <w:kern w:val="1"/>
                <w:sz w:val="24"/>
                <w:szCs w:val="24"/>
                <w:lang w:eastAsia="uk-UA"/>
              </w:rPr>
              <w:t>е</w:t>
            </w:r>
            <w:r w:rsidRPr="00661196">
              <w:rPr>
                <w:rFonts w:ascii="Times New Roman" w:hAnsi="Times New Roman"/>
                <w:kern w:val="1"/>
                <w:sz w:val="24"/>
                <w:szCs w:val="24"/>
                <w:lang w:eastAsia="uk-UA"/>
              </w:rPr>
              <w:t xml:space="preserve"> на приведення чинного законодавства України у відповідність до Міжнародної конвенції про боротьбу з допінгом у спорті</w:t>
            </w:r>
            <w:r w:rsidR="00C01D15" w:rsidRPr="00661196">
              <w:rPr>
                <w:rFonts w:ascii="Times New Roman" w:hAnsi="Times New Roman"/>
                <w:kern w:val="1"/>
                <w:sz w:val="24"/>
                <w:szCs w:val="24"/>
                <w:lang w:eastAsia="uk-UA"/>
              </w:rPr>
              <w:t xml:space="preserve"> та Антидопінгової конвенції</w:t>
            </w:r>
            <w:r w:rsidRPr="00661196">
              <w:rPr>
                <w:rFonts w:ascii="Times New Roman" w:hAnsi="Times New Roman"/>
                <w:kern w:val="1"/>
                <w:sz w:val="24"/>
                <w:szCs w:val="24"/>
                <w:lang w:eastAsia="uk-UA"/>
              </w:rPr>
              <w:t>, забезпечення створення необхідних правових та організаційних засад щодо акредитації лабораторії антидопінгового контролю та на створення умов для дотримання Україною, Національним антидопінговим центром вимог Всесвітньої антидопінгової агенції</w:t>
            </w:r>
            <w:r w:rsidR="002A50A0" w:rsidRPr="00661196">
              <w:rPr>
                <w:rFonts w:ascii="Times New Roman" w:hAnsi="Times New Roman"/>
                <w:kern w:val="1"/>
                <w:sz w:val="24"/>
                <w:szCs w:val="24"/>
                <w:lang w:eastAsia="uk-UA"/>
              </w:rPr>
              <w:t xml:space="preserve"> шляхом вилучення з</w:t>
            </w:r>
            <w:r w:rsidR="002A50A0" w:rsidRPr="00661196">
              <w:rPr>
                <w:rFonts w:ascii="Times New Roman" w:hAnsi="Times New Roman"/>
                <w:kern w:val="1"/>
                <w:sz w:val="24"/>
                <w:szCs w:val="24"/>
              </w:rPr>
              <w:t xml:space="preserve"> проєкту Закону України "Про антидопінгову діяльність у спорті" положення щодо лабораторії антидопінгового контролю, що потребує законодавчого регулювання у Законі України </w:t>
            </w:r>
            <w:r w:rsidR="002A50A0" w:rsidRPr="00661196">
              <w:rPr>
                <w:rFonts w:ascii="Times New Roman" w:hAnsi="Times New Roman"/>
                <w:sz w:val="24"/>
                <w:szCs w:val="24"/>
              </w:rPr>
              <w:t>"Про фізичну культуру і спорт".</w:t>
            </w:r>
          </w:p>
        </w:tc>
      </w:tr>
    </w:tbl>
    <w:p w14:paraId="1345FF41" w14:textId="77777777" w:rsidR="00DA67DB" w:rsidRPr="00661196" w:rsidRDefault="00F44FB2" w:rsidP="00124643">
      <w:pPr>
        <w:pStyle w:val="rvps14"/>
        <w:rPr>
          <w:b/>
          <w:bCs/>
          <w:lang w:val="uk-UA"/>
        </w:rPr>
      </w:pPr>
      <w:bookmarkStart w:id="3" w:name="n987"/>
      <w:bookmarkStart w:id="4" w:name="n988"/>
      <w:bookmarkEnd w:id="3"/>
      <w:bookmarkEnd w:id="4"/>
      <w:r w:rsidRPr="00661196">
        <w:rPr>
          <w:b/>
          <w:bCs/>
          <w:lang w:val="uk-UA"/>
        </w:rPr>
        <w:lastRenderedPageBreak/>
        <w:t>Завідувач сектору з питань запобігання використання допінгу в спорті</w:t>
      </w:r>
      <w:r w:rsidR="002F3B72" w:rsidRPr="00661196">
        <w:rPr>
          <w:b/>
          <w:bCs/>
          <w:lang w:val="uk-UA"/>
        </w:rPr>
        <w:t xml:space="preserve">     </w:t>
      </w:r>
      <w:r w:rsidRPr="00661196">
        <w:rPr>
          <w:b/>
          <w:bCs/>
          <w:lang w:val="uk-UA"/>
        </w:rPr>
        <w:tab/>
      </w:r>
      <w:r w:rsidRPr="00661196">
        <w:rPr>
          <w:b/>
          <w:bCs/>
          <w:lang w:val="uk-UA"/>
        </w:rPr>
        <w:tab/>
      </w:r>
      <w:r w:rsidRPr="00661196">
        <w:rPr>
          <w:b/>
          <w:bCs/>
          <w:lang w:val="uk-UA"/>
        </w:rPr>
        <w:tab/>
      </w:r>
      <w:r w:rsidRPr="00661196">
        <w:rPr>
          <w:b/>
          <w:bCs/>
          <w:lang w:val="uk-UA"/>
        </w:rPr>
        <w:tab/>
      </w:r>
      <w:r w:rsidRPr="00661196">
        <w:rPr>
          <w:b/>
          <w:bCs/>
          <w:lang w:val="uk-UA"/>
        </w:rPr>
        <w:tab/>
      </w:r>
      <w:r w:rsidRPr="00661196">
        <w:rPr>
          <w:b/>
          <w:bCs/>
          <w:lang w:val="uk-UA"/>
        </w:rPr>
        <w:tab/>
        <w:t>Олександр ТКАЧУК</w:t>
      </w:r>
      <w:r w:rsidR="002F3B72" w:rsidRPr="00661196">
        <w:rPr>
          <w:b/>
          <w:bCs/>
          <w:lang w:val="uk-UA"/>
        </w:rPr>
        <w:t xml:space="preserve">                                                                      </w:t>
      </w:r>
      <w:r w:rsidR="00BB5B33" w:rsidRPr="00661196">
        <w:rPr>
          <w:b/>
          <w:bCs/>
          <w:lang w:val="uk-UA"/>
        </w:rPr>
        <w:t xml:space="preserve">                                      </w:t>
      </w:r>
      <w:r w:rsidR="002F3B72" w:rsidRPr="00661196">
        <w:rPr>
          <w:b/>
          <w:bCs/>
          <w:lang w:val="uk-UA"/>
        </w:rPr>
        <w:t xml:space="preserve">  </w:t>
      </w:r>
      <w:r w:rsidR="00D20609" w:rsidRPr="00661196">
        <w:rPr>
          <w:b/>
          <w:bCs/>
          <w:lang w:val="uk-UA"/>
        </w:rPr>
        <w:t xml:space="preserve"> </w:t>
      </w:r>
      <w:r w:rsidR="002F3B72" w:rsidRPr="00661196">
        <w:rPr>
          <w:b/>
          <w:bCs/>
          <w:lang w:val="uk-UA"/>
        </w:rPr>
        <w:t xml:space="preserve">     </w:t>
      </w:r>
    </w:p>
    <w:p w14:paraId="7F5E1283" w14:textId="77777777" w:rsidR="00E9602F" w:rsidRPr="00C25FF6" w:rsidRDefault="00124643" w:rsidP="00134899">
      <w:pPr>
        <w:pStyle w:val="rvps14"/>
        <w:rPr>
          <w:sz w:val="28"/>
          <w:szCs w:val="28"/>
          <w:lang w:val="uk-UA"/>
        </w:rPr>
      </w:pPr>
      <w:r w:rsidRPr="00661196">
        <w:rPr>
          <w:sz w:val="28"/>
          <w:szCs w:val="28"/>
          <w:lang w:val="uk-UA"/>
        </w:rPr>
        <w:t>__</w:t>
      </w:r>
      <w:r w:rsidR="00572979" w:rsidRPr="00661196">
        <w:rPr>
          <w:sz w:val="28"/>
          <w:szCs w:val="28"/>
          <w:lang w:val="uk-UA"/>
        </w:rPr>
        <w:t>___</w:t>
      </w:r>
      <w:r w:rsidRPr="00661196">
        <w:rPr>
          <w:sz w:val="28"/>
          <w:szCs w:val="28"/>
          <w:lang w:val="uk-UA"/>
        </w:rPr>
        <w:t xml:space="preserve"> _______________ 20</w:t>
      </w:r>
      <w:r w:rsidR="008374D9">
        <w:rPr>
          <w:sz w:val="28"/>
          <w:szCs w:val="28"/>
          <w:lang w:val="en-US"/>
        </w:rPr>
        <w:t>__</w:t>
      </w:r>
      <w:r w:rsidRPr="00661196">
        <w:rPr>
          <w:sz w:val="28"/>
          <w:szCs w:val="28"/>
          <w:lang w:val="uk-UA"/>
        </w:rPr>
        <w:t xml:space="preserve"> р.</w:t>
      </w:r>
    </w:p>
    <w:sectPr w:rsidR="00E9602F" w:rsidRPr="00C25FF6" w:rsidSect="00295943">
      <w:headerReference w:type="default" r:id="rId6"/>
      <w:footerReference w:type="even" r:id="rId7"/>
      <w:footerReference w:type="default" r:id="rId8"/>
      <w:pgSz w:w="16838" w:h="11906" w:orient="landscape"/>
      <w:pgMar w:top="567" w:right="64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B828B8" w14:textId="77777777" w:rsidR="007F0EA5" w:rsidRDefault="007F0EA5" w:rsidP="00586924">
      <w:pPr>
        <w:pStyle w:val="rvps12"/>
      </w:pPr>
      <w:r>
        <w:separator/>
      </w:r>
    </w:p>
  </w:endnote>
  <w:endnote w:type="continuationSeparator" w:id="0">
    <w:p w14:paraId="706730FC" w14:textId="77777777" w:rsidR="007F0EA5" w:rsidRDefault="007F0EA5" w:rsidP="00586924">
      <w:pPr>
        <w:pStyle w:val="rvps1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A3322A" w14:textId="77777777" w:rsidR="007319E4" w:rsidRDefault="007319E4" w:rsidP="00686A8B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8C8346C" w14:textId="77777777" w:rsidR="007319E4" w:rsidRDefault="007319E4" w:rsidP="001A68C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BDB6E" w14:textId="77777777" w:rsidR="007319E4" w:rsidRDefault="007319E4" w:rsidP="00A24679">
    <w:pPr>
      <w:pStyle w:val="a6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F9223B" w14:textId="77777777" w:rsidR="007F0EA5" w:rsidRDefault="007F0EA5" w:rsidP="00586924">
      <w:pPr>
        <w:pStyle w:val="rvps12"/>
      </w:pPr>
      <w:r>
        <w:separator/>
      </w:r>
    </w:p>
  </w:footnote>
  <w:footnote w:type="continuationSeparator" w:id="0">
    <w:p w14:paraId="58E6C84C" w14:textId="77777777" w:rsidR="007F0EA5" w:rsidRDefault="007F0EA5" w:rsidP="00586924">
      <w:pPr>
        <w:pStyle w:val="rvps1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71CBD" w14:textId="3D79EDAA" w:rsidR="00260687" w:rsidRDefault="00260687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A14D81" w:rsidRPr="00A14D81">
      <w:rPr>
        <w:noProof/>
        <w:lang w:val="uk-UA"/>
      </w:rPr>
      <w:t>5</w:t>
    </w:r>
    <w:r>
      <w:fldChar w:fldCharType="end"/>
    </w:r>
  </w:p>
  <w:p w14:paraId="2A664625" w14:textId="77777777" w:rsidR="00260687" w:rsidRDefault="00260687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643"/>
    <w:rsid w:val="00011EC6"/>
    <w:rsid w:val="00042B77"/>
    <w:rsid w:val="000C1874"/>
    <w:rsid w:val="000C2AD7"/>
    <w:rsid w:val="000D3FD5"/>
    <w:rsid w:val="00105099"/>
    <w:rsid w:val="00124643"/>
    <w:rsid w:val="00134899"/>
    <w:rsid w:val="00145E7B"/>
    <w:rsid w:val="0016283C"/>
    <w:rsid w:val="001767DB"/>
    <w:rsid w:val="00192452"/>
    <w:rsid w:val="001A1E07"/>
    <w:rsid w:val="001A68C0"/>
    <w:rsid w:val="001C6934"/>
    <w:rsid w:val="001D08ED"/>
    <w:rsid w:val="001D6405"/>
    <w:rsid w:val="001F11B8"/>
    <w:rsid w:val="001F6B32"/>
    <w:rsid w:val="00200D38"/>
    <w:rsid w:val="00204D0F"/>
    <w:rsid w:val="002229BA"/>
    <w:rsid w:val="0022722F"/>
    <w:rsid w:val="00233BEA"/>
    <w:rsid w:val="00260687"/>
    <w:rsid w:val="00262724"/>
    <w:rsid w:val="002807C6"/>
    <w:rsid w:val="00295943"/>
    <w:rsid w:val="00295A21"/>
    <w:rsid w:val="002A50A0"/>
    <w:rsid w:val="002D2317"/>
    <w:rsid w:val="002F3B72"/>
    <w:rsid w:val="0034065B"/>
    <w:rsid w:val="0035398A"/>
    <w:rsid w:val="00397C93"/>
    <w:rsid w:val="003D7955"/>
    <w:rsid w:val="003F7560"/>
    <w:rsid w:val="00461701"/>
    <w:rsid w:val="00467DA6"/>
    <w:rsid w:val="00482F05"/>
    <w:rsid w:val="00484605"/>
    <w:rsid w:val="00490930"/>
    <w:rsid w:val="004B4600"/>
    <w:rsid w:val="004D1280"/>
    <w:rsid w:val="00521C32"/>
    <w:rsid w:val="005305D4"/>
    <w:rsid w:val="005514AA"/>
    <w:rsid w:val="005608B5"/>
    <w:rsid w:val="0057058F"/>
    <w:rsid w:val="00572979"/>
    <w:rsid w:val="00585B02"/>
    <w:rsid w:val="00586924"/>
    <w:rsid w:val="005879ED"/>
    <w:rsid w:val="005B7480"/>
    <w:rsid w:val="005D0ECB"/>
    <w:rsid w:val="005D73A0"/>
    <w:rsid w:val="00620128"/>
    <w:rsid w:val="00621DC8"/>
    <w:rsid w:val="00661196"/>
    <w:rsid w:val="00682362"/>
    <w:rsid w:val="00686A8B"/>
    <w:rsid w:val="006933B9"/>
    <w:rsid w:val="006D097A"/>
    <w:rsid w:val="006D476A"/>
    <w:rsid w:val="006D5519"/>
    <w:rsid w:val="006E059D"/>
    <w:rsid w:val="006F4BC3"/>
    <w:rsid w:val="00705FAE"/>
    <w:rsid w:val="007117A7"/>
    <w:rsid w:val="007239F9"/>
    <w:rsid w:val="007319E4"/>
    <w:rsid w:val="00754E78"/>
    <w:rsid w:val="007B5879"/>
    <w:rsid w:val="007D2128"/>
    <w:rsid w:val="007E7DE5"/>
    <w:rsid w:val="007F0EA5"/>
    <w:rsid w:val="007F2A6B"/>
    <w:rsid w:val="00832368"/>
    <w:rsid w:val="008374D9"/>
    <w:rsid w:val="008452D1"/>
    <w:rsid w:val="0086482B"/>
    <w:rsid w:val="0087057B"/>
    <w:rsid w:val="00874151"/>
    <w:rsid w:val="008918F0"/>
    <w:rsid w:val="008A0F8D"/>
    <w:rsid w:val="008D2563"/>
    <w:rsid w:val="008E65A5"/>
    <w:rsid w:val="008F4CBC"/>
    <w:rsid w:val="008F6E31"/>
    <w:rsid w:val="00902F3B"/>
    <w:rsid w:val="00911347"/>
    <w:rsid w:val="0096104D"/>
    <w:rsid w:val="00973E9F"/>
    <w:rsid w:val="009830EF"/>
    <w:rsid w:val="00985059"/>
    <w:rsid w:val="0099070C"/>
    <w:rsid w:val="009B27E9"/>
    <w:rsid w:val="009B3900"/>
    <w:rsid w:val="009C0E6C"/>
    <w:rsid w:val="009D3A4B"/>
    <w:rsid w:val="00A02B9B"/>
    <w:rsid w:val="00A03884"/>
    <w:rsid w:val="00A10913"/>
    <w:rsid w:val="00A14D81"/>
    <w:rsid w:val="00A24679"/>
    <w:rsid w:val="00A26FB7"/>
    <w:rsid w:val="00A71E73"/>
    <w:rsid w:val="00AB3EC2"/>
    <w:rsid w:val="00AE4A1B"/>
    <w:rsid w:val="00B474D0"/>
    <w:rsid w:val="00B52F59"/>
    <w:rsid w:val="00B76D4E"/>
    <w:rsid w:val="00B830CA"/>
    <w:rsid w:val="00BA048A"/>
    <w:rsid w:val="00BB4B37"/>
    <w:rsid w:val="00BB5B33"/>
    <w:rsid w:val="00BF38E1"/>
    <w:rsid w:val="00C007F3"/>
    <w:rsid w:val="00C00FA4"/>
    <w:rsid w:val="00C01D15"/>
    <w:rsid w:val="00C07DD7"/>
    <w:rsid w:val="00C25FF6"/>
    <w:rsid w:val="00C32C39"/>
    <w:rsid w:val="00C40C99"/>
    <w:rsid w:val="00C45AC7"/>
    <w:rsid w:val="00C46187"/>
    <w:rsid w:val="00C46A7B"/>
    <w:rsid w:val="00C530E9"/>
    <w:rsid w:val="00CC1D8C"/>
    <w:rsid w:val="00CC6E7F"/>
    <w:rsid w:val="00CD6813"/>
    <w:rsid w:val="00CF7842"/>
    <w:rsid w:val="00CF7B64"/>
    <w:rsid w:val="00CF7E59"/>
    <w:rsid w:val="00D15F08"/>
    <w:rsid w:val="00D20609"/>
    <w:rsid w:val="00D33BEC"/>
    <w:rsid w:val="00D80EBC"/>
    <w:rsid w:val="00D9015F"/>
    <w:rsid w:val="00DA3A86"/>
    <w:rsid w:val="00DA4D15"/>
    <w:rsid w:val="00DA67DB"/>
    <w:rsid w:val="00DD005E"/>
    <w:rsid w:val="00DF62FC"/>
    <w:rsid w:val="00E30CB1"/>
    <w:rsid w:val="00E806BE"/>
    <w:rsid w:val="00E9602F"/>
    <w:rsid w:val="00E97B96"/>
    <w:rsid w:val="00EA4A5C"/>
    <w:rsid w:val="00EB73FC"/>
    <w:rsid w:val="00F06611"/>
    <w:rsid w:val="00F44FB2"/>
    <w:rsid w:val="00F61A98"/>
    <w:rsid w:val="00F72239"/>
    <w:rsid w:val="00F80433"/>
    <w:rsid w:val="00FB73B9"/>
    <w:rsid w:val="00FC2527"/>
    <w:rsid w:val="00FC7622"/>
    <w:rsid w:val="00FE1185"/>
    <w:rsid w:val="00FE6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C8DAB4"/>
  <w14:defaultImageDpi w14:val="0"/>
  <w15:docId w15:val="{AEBB5B5C-0DC9-4F2A-9D40-BE4387A38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124643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124643"/>
    <w:rPr>
      <w:rFonts w:cs="Times New Roman"/>
    </w:rPr>
  </w:style>
  <w:style w:type="character" w:customStyle="1" w:styleId="rvts82">
    <w:name w:val="rvts82"/>
    <w:basedOn w:val="a0"/>
    <w:rsid w:val="00124643"/>
    <w:rPr>
      <w:rFonts w:cs="Times New Roman"/>
    </w:rPr>
  </w:style>
  <w:style w:type="paragraph" w:customStyle="1" w:styleId="rvps12">
    <w:name w:val="rvps12"/>
    <w:basedOn w:val="a"/>
    <w:rsid w:val="00124643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124643"/>
    <w:pPr>
      <w:spacing w:before="100" w:beforeAutospacing="1" w:after="100" w:afterAutospacing="1"/>
    </w:pPr>
  </w:style>
  <w:style w:type="paragraph" w:customStyle="1" w:styleId="a3">
    <w:name w:val="Назва документа"/>
    <w:basedOn w:val="a"/>
    <w:next w:val="a"/>
    <w:rsid w:val="00124643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character" w:customStyle="1" w:styleId="rvts9">
    <w:name w:val="rvts9"/>
    <w:rsid w:val="00124643"/>
  </w:style>
  <w:style w:type="paragraph" w:customStyle="1" w:styleId="a4">
    <w:name w:val="Нормальний текст"/>
    <w:basedOn w:val="a"/>
    <w:rsid w:val="007B587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character" w:customStyle="1" w:styleId="rvts0">
    <w:name w:val="rvts0"/>
    <w:rsid w:val="007B5879"/>
  </w:style>
  <w:style w:type="paragraph" w:styleId="a5">
    <w:name w:val="Normal (Web)"/>
    <w:basedOn w:val="a"/>
    <w:uiPriority w:val="99"/>
    <w:rsid w:val="007B5879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rsid w:val="007B5879"/>
  </w:style>
  <w:style w:type="paragraph" w:styleId="HTML">
    <w:name w:val="HTML Preformatted"/>
    <w:basedOn w:val="a"/>
    <w:link w:val="HTML0"/>
    <w:uiPriority w:val="99"/>
    <w:rsid w:val="007B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hAnsi="Courier New" w:cs="Courier New"/>
      <w:lang w:val="ru-RU" w:eastAsia="ru-RU"/>
    </w:rPr>
  </w:style>
  <w:style w:type="paragraph" w:customStyle="1" w:styleId="rvps6">
    <w:name w:val="rvps6"/>
    <w:basedOn w:val="a"/>
    <w:rsid w:val="002229BA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C00FA4"/>
    <w:pPr>
      <w:spacing w:before="100" w:beforeAutospacing="1" w:after="100" w:afterAutospacing="1"/>
    </w:pPr>
  </w:style>
  <w:style w:type="character" w:customStyle="1" w:styleId="rvts37">
    <w:name w:val="rvts37"/>
    <w:basedOn w:val="a0"/>
    <w:rsid w:val="000D3FD5"/>
    <w:rPr>
      <w:rFonts w:cs="Times New Roman"/>
    </w:rPr>
  </w:style>
  <w:style w:type="paragraph" w:styleId="a6">
    <w:name w:val="footer"/>
    <w:basedOn w:val="a"/>
    <w:link w:val="a7"/>
    <w:uiPriority w:val="99"/>
    <w:rsid w:val="001A68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Pr>
      <w:sz w:val="24"/>
      <w:szCs w:val="24"/>
      <w:lang w:val="ru-RU" w:eastAsia="ru-RU"/>
    </w:rPr>
  </w:style>
  <w:style w:type="character" w:styleId="a8">
    <w:name w:val="page number"/>
    <w:basedOn w:val="a0"/>
    <w:uiPriority w:val="99"/>
    <w:rsid w:val="001A68C0"/>
    <w:rPr>
      <w:rFonts w:cs="Times New Roman"/>
    </w:rPr>
  </w:style>
  <w:style w:type="character" w:styleId="a9">
    <w:name w:val="Emphasis"/>
    <w:basedOn w:val="a0"/>
    <w:uiPriority w:val="20"/>
    <w:qFormat/>
    <w:rsid w:val="00F06611"/>
    <w:rPr>
      <w:i/>
    </w:rPr>
  </w:style>
  <w:style w:type="paragraph" w:customStyle="1" w:styleId="1">
    <w:name w:val="Абзац списку1"/>
    <w:basedOn w:val="a"/>
    <w:rsid w:val="00C007F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styleId="aa">
    <w:name w:val="header"/>
    <w:basedOn w:val="a"/>
    <w:link w:val="ab"/>
    <w:uiPriority w:val="99"/>
    <w:rsid w:val="00260687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260687"/>
    <w:rPr>
      <w:sz w:val="24"/>
      <w:lang w:val="ru-RU" w:eastAsia="ru-RU"/>
    </w:rPr>
  </w:style>
  <w:style w:type="paragraph" w:styleId="ac">
    <w:name w:val="Balloon Text"/>
    <w:basedOn w:val="a"/>
    <w:link w:val="ad"/>
    <w:uiPriority w:val="99"/>
    <w:rsid w:val="00467DA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467DA6"/>
    <w:rPr>
      <w:rFonts w:ascii="Segoe UI" w:hAnsi="Segoe UI"/>
      <w:sz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28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8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28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8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885</Words>
  <Characters>6329</Characters>
  <Application>Microsoft Office Word</Application>
  <DocSecurity>4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ПОРІВНЯЛЬНА ТАБЛИЦЯ</vt:lpstr>
    </vt:vector>
  </TitlesOfParts>
  <Company>MoBIL GROUP</Company>
  <LinksUpToDate>false</LinksUpToDate>
  <CharactersWithSpaces>7200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ПОРІВНЯЛЬНА ТАБЛИЦЯ</dc:title>
  <dc:subject/>
  <dc:creator>Ткачук Олександр Олександрович</dc:creator>
  <cp:keywords/>
  <dc:description/>
  <cp:lastModifiedBy>ГРИШАН Інна Юріївна</cp:lastModifiedBy>
  <cp:revision>2</cp:revision>
  <cp:lastPrinted>2020-12-03T14:12:00Z</cp:lastPrinted>
  <dcterms:created xsi:type="dcterms:W3CDTF">2021-02-18T13:33:00Z</dcterms:created>
  <dcterms:modified xsi:type="dcterms:W3CDTF">2021-02-18T13:33:00Z</dcterms:modified>
</cp:coreProperties>
</file>