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062509" w:rsidRPr="00873A6E" w:rsidTr="00F1339E">
        <w:trPr>
          <w:jc w:val="right"/>
        </w:trPr>
        <w:tc>
          <w:tcPr>
            <w:tcW w:w="2300" w:type="pct"/>
            <w:hideMark/>
          </w:tcPr>
          <w:p w:rsidR="00F1339E" w:rsidRPr="00873A6E" w:rsidRDefault="00F1339E" w:rsidP="0087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10792F" w:rsidRPr="00D03EED" w:rsidRDefault="00F1339E" w:rsidP="006A6E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</w:pPr>
      <w:bookmarkStart w:id="0" w:name="n217"/>
      <w:bookmarkEnd w:id="0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ПОЯСНЮВАЛЬНА ЗАПИСКА</w:t>
      </w:r>
    </w:p>
    <w:p w:rsidR="006A6E8B" w:rsidRPr="00D03EED" w:rsidRDefault="00F1339E" w:rsidP="006A6E8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до проекту </w:t>
      </w:r>
      <w:r w:rsidR="009E0208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Закону </w:t>
      </w:r>
      <w:r w:rsidR="0010792F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="006A6E8B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D41F54" w:rsidRPr="00D03E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1F54" w:rsidRPr="00D03EED">
        <w:rPr>
          <w:rFonts w:ascii="Times New Roman" w:hAnsi="Times New Roman"/>
          <w:sz w:val="28"/>
          <w:szCs w:val="28"/>
        </w:rPr>
        <w:t>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</w:p>
    <w:p w:rsidR="00325250" w:rsidRPr="00D03EED" w:rsidRDefault="00325250" w:rsidP="00873A6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uk-UA"/>
        </w:rPr>
      </w:pPr>
    </w:p>
    <w:p w:rsidR="00F1339E" w:rsidRPr="00D03EED" w:rsidRDefault="00F133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bookmarkStart w:id="1" w:name="n218"/>
      <w:bookmarkEnd w:id="1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1. Мета</w:t>
      </w:r>
    </w:p>
    <w:p w:rsidR="00640747" w:rsidRPr="00D03EED" w:rsidRDefault="00640747" w:rsidP="00640747">
      <w:pPr>
        <w:pStyle w:val="ab"/>
        <w:spacing w:before="0" w:beforeAutospacing="0" w:after="0" w:afterAutospacing="0"/>
        <w:ind w:firstLine="567"/>
        <w:jc w:val="both"/>
        <w:rPr>
          <w:rFonts w:eastAsia="Times New Roman"/>
          <w:sz w:val="28"/>
          <w:szCs w:val="28"/>
        </w:rPr>
      </w:pPr>
      <w:bookmarkStart w:id="2" w:name="n219"/>
      <w:bookmarkEnd w:id="2"/>
      <w:r w:rsidRPr="00D03EED">
        <w:rPr>
          <w:rFonts w:eastAsia="Times New Roman"/>
          <w:sz w:val="28"/>
          <w:szCs w:val="28"/>
        </w:rPr>
        <w:t>Метою законопроекту є забезпечення збалансованості бюджетних надходжень шляхом підвищення ефективності використання економічних ресурсів країни, а також усунення прогалин чинного законодавства.</w:t>
      </w:r>
    </w:p>
    <w:p w:rsidR="009E0208" w:rsidRPr="00D03EED" w:rsidRDefault="009E0208" w:rsidP="00873A6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F1339E" w:rsidRPr="00D03EED" w:rsidRDefault="00F133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</w:pPr>
      <w:bookmarkStart w:id="3" w:name="n220"/>
      <w:bookmarkEnd w:id="3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 xml:space="preserve">2. Обґрунтування необхідності прийняття </w:t>
      </w:r>
      <w:proofErr w:type="spellStart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акта</w:t>
      </w:r>
      <w:proofErr w:type="spellEnd"/>
    </w:p>
    <w:p w:rsidR="003A1516" w:rsidRPr="00D03EED" w:rsidRDefault="00FE7677" w:rsidP="00873A6E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3803F4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ідповідно до пункту 4 розділу ХІХ Податкового кодексу України Кабінет Міністрів України щорічно до 1 червня у разі необхідності вносить до Верховної Ради України проект закону про внесення змін до Податкового кодексу України щодо ставок оподаткування, визначених в абсолютних значеннях, з урахуванням індексів споживчих цін, індексів цін виробників промислової продукції з акцизного податку, екологічного податку та рентної плати</w:t>
      </w:r>
      <w:r w:rsidR="00952559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A1516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З 2019 року відповідно до цього положення ст</w:t>
      </w:r>
      <w:r w:rsidR="005279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авки податків не переглядалися,</w:t>
      </w:r>
      <w:r w:rsidR="005279F5" w:rsidRPr="00D03EE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279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а ставки акцизного податку на алкогольні напої не переглядалися з 2017 року.</w:t>
      </w:r>
    </w:p>
    <w:p w:rsidR="008E4AAB" w:rsidRPr="00D03EED" w:rsidRDefault="00045BE1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Окрім того, </w:t>
      </w:r>
      <w:r w:rsidR="008E4AAB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поточна економічна ситуація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вимага</w:t>
      </w:r>
      <w:r w:rsidR="008E4AAB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4AAB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перегляду підходів до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4AAB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справляння окремих 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</w:t>
      </w:r>
      <w:r w:rsidR="008E4AAB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тків, як будуть направлені на:</w:t>
      </w:r>
    </w:p>
    <w:p w:rsidR="008E4AAB" w:rsidRPr="00D03EED" w:rsidRDefault="008E4AAB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26B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створення більш ефективних механізмів 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справляння цих 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податків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E4AAB" w:rsidRPr="00D03EED" w:rsidRDefault="008E4AAB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26B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недопущення 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безпідставного користування податковими пільгами;</w:t>
      </w:r>
    </w:p>
    <w:p w:rsidR="008E4AAB" w:rsidRPr="00D03EED" w:rsidRDefault="008E4AAB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26B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сприяння підвищенню 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добровільності сплати податків;</w:t>
      </w:r>
    </w:p>
    <w:p w:rsidR="008E4AAB" w:rsidRPr="00D03EED" w:rsidRDefault="008E4AAB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26B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справедливих умов оподаткуван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ня для всіх платників податків;</w:t>
      </w:r>
    </w:p>
    <w:p w:rsidR="00045BE1" w:rsidRPr="00D03EED" w:rsidRDefault="008E4AAB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26BF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45BE1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мобілізації фінансових ресурсів до бюджетів різних рівнів у достатньому обсязі.</w:t>
      </w:r>
    </w:p>
    <w:p w:rsidR="008E4AAB" w:rsidRPr="00D03EED" w:rsidRDefault="008E4AAB" w:rsidP="00045BE1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E7677" w:rsidRPr="00D03EED" w:rsidRDefault="00FE7677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 xml:space="preserve">3. Основні положення проекту </w:t>
      </w:r>
      <w:proofErr w:type="spellStart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акта</w:t>
      </w:r>
      <w:proofErr w:type="spellEnd"/>
    </w:p>
    <w:p w:rsidR="00FE7677" w:rsidRPr="00D03EED" w:rsidRDefault="008551E6" w:rsidP="00873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Законопроектом вносяться зміни </w:t>
      </w:r>
      <w:r w:rsidR="00FE7677" w:rsidRPr="00D03EED">
        <w:rPr>
          <w:rFonts w:ascii="Times New Roman" w:hAnsi="Times New Roman" w:cs="Times New Roman"/>
          <w:sz w:val="28"/>
          <w:szCs w:val="28"/>
        </w:rPr>
        <w:t xml:space="preserve">до Податкового кодексу України </w:t>
      </w:r>
      <w:r w:rsidRPr="00D03EED">
        <w:rPr>
          <w:rFonts w:ascii="Times New Roman" w:hAnsi="Times New Roman" w:cs="Times New Roman"/>
          <w:sz w:val="28"/>
          <w:szCs w:val="28"/>
        </w:rPr>
        <w:t xml:space="preserve">та інших законодавчих актів, якими </w:t>
      </w:r>
      <w:r w:rsidR="00FE7677" w:rsidRPr="00D03EED">
        <w:rPr>
          <w:rFonts w:ascii="Times New Roman" w:hAnsi="Times New Roman" w:cs="Times New Roman"/>
          <w:sz w:val="28"/>
          <w:szCs w:val="28"/>
        </w:rPr>
        <w:t>пропонується:</w:t>
      </w:r>
    </w:p>
    <w:p w:rsidR="00FE7677" w:rsidRPr="00D03EED" w:rsidRDefault="00FE7677" w:rsidP="008551E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індексації ставок податків</w:t>
      </w:r>
    </w:p>
    <w:p w:rsidR="0062648F" w:rsidRPr="00D03EED" w:rsidRDefault="0062648F" w:rsidP="0062648F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ставки акцизного податку на алкогольні напої, екологічного податку </w:t>
      </w:r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(крім ставок за викиди двоокису вуглецю в атмосферне повітря стаціонарними джерелами забруднення, за скиди забруднюючих речовин у водні об’єкти та за розміщення </w:t>
      </w:r>
      <w:proofErr w:type="spellStart"/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>малонебезпечних</w:t>
      </w:r>
      <w:proofErr w:type="spellEnd"/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нетоксичних відходів гірничої промисловості)</w:t>
      </w:r>
      <w:r w:rsidRPr="00D03EED">
        <w:rPr>
          <w:rFonts w:ascii="Times New Roman" w:hAnsi="Times New Roman" w:cs="Times New Roman"/>
          <w:sz w:val="28"/>
          <w:szCs w:val="28"/>
        </w:rPr>
        <w:t xml:space="preserve"> та рентної плати за користування радіочастотним ресурсом України з урахуванням індексу споживчих цін </w:t>
      </w:r>
      <w:r w:rsidR="008B7133" w:rsidRPr="00D03EED">
        <w:rPr>
          <w:rFonts w:ascii="Times New Roman" w:hAnsi="Times New Roman" w:cs="Times New Roman"/>
          <w:sz w:val="28"/>
          <w:szCs w:val="28"/>
        </w:rPr>
        <w:t>за</w:t>
      </w:r>
      <w:r w:rsidRPr="00D03EED">
        <w:rPr>
          <w:rFonts w:ascii="Times New Roman" w:hAnsi="Times New Roman" w:cs="Times New Roman"/>
          <w:sz w:val="28"/>
          <w:szCs w:val="28"/>
        </w:rPr>
        <w:t xml:space="preserve"> </w:t>
      </w:r>
      <w:r w:rsidR="00A664CB" w:rsidRPr="00D03EED">
        <w:rPr>
          <w:rFonts w:ascii="Times New Roman" w:hAnsi="Times New Roman" w:cs="Times New Roman"/>
          <w:sz w:val="28"/>
          <w:szCs w:val="28"/>
        </w:rPr>
        <w:t>2020</w:t>
      </w:r>
      <w:r w:rsidRPr="00D03EED">
        <w:rPr>
          <w:rFonts w:ascii="Times New Roman" w:hAnsi="Times New Roman" w:cs="Times New Roman"/>
          <w:sz w:val="28"/>
          <w:szCs w:val="28"/>
        </w:rPr>
        <w:t xml:space="preserve"> рік збільшити на </w:t>
      </w:r>
      <w:r w:rsidR="008B7133" w:rsidRPr="00D03EED">
        <w:rPr>
          <w:rFonts w:ascii="Times New Roman" w:hAnsi="Times New Roman" w:cs="Times New Roman"/>
          <w:sz w:val="28"/>
          <w:szCs w:val="28"/>
        </w:rPr>
        <w:t>5 </w:t>
      </w:r>
      <w:r w:rsidRPr="00D03EED">
        <w:rPr>
          <w:rFonts w:ascii="Times New Roman" w:hAnsi="Times New Roman" w:cs="Times New Roman"/>
          <w:sz w:val="28"/>
          <w:szCs w:val="28"/>
        </w:rPr>
        <w:t>%;</w:t>
      </w:r>
    </w:p>
    <w:p w:rsidR="00FE7677" w:rsidRPr="00D03EED" w:rsidRDefault="00FE7677" w:rsidP="00873A6E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ставки рентної плати за користування надрами в цілях, не пов'язаних з видобуванням корисних копалин, рентної плати за спеціальне використання води та рентної плати за спеціальне використання лісових ресурсів з </w:t>
      </w:r>
      <w:r w:rsidRPr="00D03EED">
        <w:rPr>
          <w:rFonts w:ascii="Times New Roman" w:hAnsi="Times New Roman" w:cs="Times New Roman"/>
          <w:sz w:val="28"/>
          <w:szCs w:val="28"/>
        </w:rPr>
        <w:lastRenderedPageBreak/>
        <w:t xml:space="preserve">урахуванням індексу цін виробників промислової продукції </w:t>
      </w:r>
      <w:r w:rsidR="008B7133" w:rsidRPr="00D03EED">
        <w:rPr>
          <w:rFonts w:ascii="Times New Roman" w:hAnsi="Times New Roman" w:cs="Times New Roman"/>
          <w:sz w:val="28"/>
          <w:szCs w:val="28"/>
        </w:rPr>
        <w:t>з</w:t>
      </w:r>
      <w:r w:rsidRPr="00D03EED">
        <w:rPr>
          <w:rFonts w:ascii="Times New Roman" w:hAnsi="Times New Roman" w:cs="Times New Roman"/>
          <w:sz w:val="28"/>
          <w:szCs w:val="28"/>
        </w:rPr>
        <w:t>а 202</w:t>
      </w:r>
      <w:r w:rsidR="002669FF" w:rsidRPr="00D03EED">
        <w:rPr>
          <w:rFonts w:ascii="Times New Roman" w:hAnsi="Times New Roman" w:cs="Times New Roman"/>
          <w:sz w:val="28"/>
          <w:szCs w:val="28"/>
        </w:rPr>
        <w:t>0</w:t>
      </w:r>
      <w:r w:rsidRPr="00D03EED">
        <w:rPr>
          <w:rFonts w:ascii="Times New Roman" w:hAnsi="Times New Roman" w:cs="Times New Roman"/>
          <w:sz w:val="28"/>
          <w:szCs w:val="28"/>
        </w:rPr>
        <w:t xml:space="preserve"> рік збільшити на </w:t>
      </w:r>
      <w:r w:rsidR="002669FF" w:rsidRPr="00D03EED">
        <w:rPr>
          <w:rFonts w:ascii="Times New Roman" w:hAnsi="Times New Roman" w:cs="Times New Roman"/>
          <w:sz w:val="28"/>
          <w:szCs w:val="28"/>
        </w:rPr>
        <w:t>1</w:t>
      </w:r>
      <w:r w:rsidR="008B7133" w:rsidRPr="00D03EED">
        <w:rPr>
          <w:rFonts w:ascii="Times New Roman" w:hAnsi="Times New Roman" w:cs="Times New Roman"/>
          <w:sz w:val="28"/>
          <w:szCs w:val="28"/>
        </w:rPr>
        <w:t>4,5</w:t>
      </w:r>
      <w:r w:rsidRPr="00D03EED">
        <w:rPr>
          <w:rFonts w:ascii="Times New Roman" w:hAnsi="Times New Roman" w:cs="Times New Roman"/>
          <w:sz w:val="28"/>
          <w:szCs w:val="28"/>
        </w:rPr>
        <w:t>%</w:t>
      </w:r>
      <w:r w:rsidR="007B786B" w:rsidRPr="00D03EED">
        <w:rPr>
          <w:rFonts w:ascii="Times New Roman" w:hAnsi="Times New Roman" w:cs="Times New Roman"/>
          <w:sz w:val="28"/>
          <w:szCs w:val="28"/>
        </w:rPr>
        <w:t>.</w:t>
      </w:r>
    </w:p>
    <w:p w:rsidR="007B786B" w:rsidRPr="00D03EED" w:rsidRDefault="00074A4C" w:rsidP="00873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І</w:t>
      </w:r>
      <w:r w:rsidR="007B786B" w:rsidRPr="00D03EED">
        <w:rPr>
          <w:rFonts w:ascii="Times New Roman" w:hAnsi="Times New Roman" w:cs="Times New Roman"/>
          <w:sz w:val="28"/>
          <w:szCs w:val="28"/>
        </w:rPr>
        <w:t>ндекси споживчих цін (</w:t>
      </w:r>
      <w:r w:rsidR="008B7133" w:rsidRPr="00D03EED">
        <w:rPr>
          <w:rFonts w:ascii="Times New Roman" w:hAnsi="Times New Roman" w:cs="Times New Roman"/>
          <w:sz w:val="28"/>
          <w:szCs w:val="28"/>
        </w:rPr>
        <w:t>105 </w:t>
      </w:r>
      <w:r w:rsidR="007B786B" w:rsidRPr="00D03EED">
        <w:rPr>
          <w:rFonts w:ascii="Times New Roman" w:hAnsi="Times New Roman" w:cs="Times New Roman"/>
          <w:sz w:val="28"/>
          <w:szCs w:val="28"/>
        </w:rPr>
        <w:t>%) та цін виробників промислової продукції (</w:t>
      </w:r>
      <w:r w:rsidR="002669FF" w:rsidRPr="00D03EED">
        <w:rPr>
          <w:rFonts w:ascii="Times New Roman" w:hAnsi="Times New Roman" w:cs="Times New Roman"/>
          <w:sz w:val="28"/>
          <w:szCs w:val="28"/>
        </w:rPr>
        <w:t>11</w:t>
      </w:r>
      <w:r w:rsidR="008B7133" w:rsidRPr="00D03EED">
        <w:rPr>
          <w:rFonts w:ascii="Times New Roman" w:hAnsi="Times New Roman" w:cs="Times New Roman"/>
          <w:sz w:val="28"/>
          <w:szCs w:val="28"/>
        </w:rPr>
        <w:t>4,5 </w:t>
      </w:r>
      <w:r w:rsidR="007B786B" w:rsidRPr="00D03EED">
        <w:rPr>
          <w:rFonts w:ascii="Times New Roman" w:hAnsi="Times New Roman" w:cs="Times New Roman"/>
          <w:sz w:val="28"/>
          <w:szCs w:val="28"/>
        </w:rPr>
        <w:t xml:space="preserve">%) </w:t>
      </w:r>
      <w:r w:rsidR="008B7133" w:rsidRPr="00D03EED">
        <w:rPr>
          <w:rFonts w:ascii="Times New Roman" w:hAnsi="Times New Roman" w:cs="Times New Roman"/>
          <w:sz w:val="28"/>
          <w:szCs w:val="28"/>
        </w:rPr>
        <w:t>з</w:t>
      </w:r>
      <w:r w:rsidR="007B786B" w:rsidRPr="00D03EED">
        <w:rPr>
          <w:rFonts w:ascii="Times New Roman" w:hAnsi="Times New Roman" w:cs="Times New Roman"/>
          <w:sz w:val="28"/>
          <w:szCs w:val="28"/>
        </w:rPr>
        <w:t xml:space="preserve">а </w:t>
      </w:r>
      <w:r w:rsidR="00F8667B" w:rsidRPr="00D03EED">
        <w:rPr>
          <w:rFonts w:ascii="Times New Roman" w:hAnsi="Times New Roman" w:cs="Times New Roman"/>
          <w:sz w:val="28"/>
          <w:szCs w:val="28"/>
        </w:rPr>
        <w:t>2020</w:t>
      </w:r>
      <w:r w:rsidR="007B786B" w:rsidRPr="00D03EED">
        <w:rPr>
          <w:rFonts w:ascii="Times New Roman" w:hAnsi="Times New Roman" w:cs="Times New Roman"/>
          <w:sz w:val="28"/>
          <w:szCs w:val="28"/>
        </w:rPr>
        <w:t xml:space="preserve"> рік</w:t>
      </w:r>
      <w:r w:rsidR="008B7133" w:rsidRPr="00D03EED">
        <w:rPr>
          <w:rFonts w:ascii="Times New Roman" w:hAnsi="Times New Roman" w:cs="Times New Roman"/>
          <w:sz w:val="28"/>
          <w:szCs w:val="28"/>
        </w:rPr>
        <w:t xml:space="preserve"> надіслано Міністерством розвитку економіки, торгівлі та сільського господарства України листом від 15.04.2021 № 3011-02/22956-03</w:t>
      </w:r>
      <w:r w:rsidR="007B786B" w:rsidRPr="00D03EED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873A6E" w:rsidRPr="00D03EED" w:rsidRDefault="00873A6E" w:rsidP="00873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Крім того, відповідно до міжнародних зобов’язань України, проектом пропонується змінити підходи до визначення одиниці виміру ставки акцизного податку на пиво. Так, згідно додатку ХХVIII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Україна зобов’язана привести норми власного законодавства у відповідність до Директиви Ради 92/83/ЄЕС від 19.10.1992 щодо гармонізації структур акцизних зборів на спирт та алкогольні напої. Статтею 3 вказаної Директиви встановлено, що акцизний податок, що справляється з пива, встановлюються в залежності від фактичної міцності готової продукції. При цьому, в Україні ставка акцизу на пиво визначена за 1 л готової продукції.  Приведення правил оподаткування пива у відповідність до Угоди про асоціацію між Україною та ЄС, також передбачено пунктом 118 Плану законопроектної роботи Верховної Ради України на 2021 рік, затвердженого постановою Верховної Ради України від 02.02.2021 № 1165.</w:t>
      </w:r>
    </w:p>
    <w:p w:rsidR="00F25D73" w:rsidRPr="00D03EED" w:rsidRDefault="005279F5" w:rsidP="00F25D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Тому, у законопроекті пропонується діючу ставку акцизу за 1 л пива, замінити на </w:t>
      </w:r>
      <w:r w:rsidR="00D566B4" w:rsidRPr="00D03EED">
        <w:rPr>
          <w:rFonts w:ascii="Times New Roman" w:hAnsi="Times New Roman" w:cs="Times New Roman"/>
          <w:sz w:val="28"/>
          <w:szCs w:val="28"/>
        </w:rPr>
        <w:t>ставку</w:t>
      </w:r>
      <w:r w:rsidRPr="00D03EED">
        <w:rPr>
          <w:rFonts w:ascii="Times New Roman" w:hAnsi="Times New Roman" w:cs="Times New Roman"/>
          <w:sz w:val="28"/>
          <w:szCs w:val="28"/>
        </w:rPr>
        <w:t xml:space="preserve"> за 1 л 100-відсоткового спирту, виходячи з середньозваженої міцності пива за 2019-2020 роки 4,88 відсотка об’ємних одиниць та індексу споживчих цін </w:t>
      </w:r>
      <w:r w:rsidR="008B7133" w:rsidRPr="00D03EED">
        <w:rPr>
          <w:rFonts w:ascii="Times New Roman" w:hAnsi="Times New Roman" w:cs="Times New Roman"/>
          <w:sz w:val="28"/>
          <w:szCs w:val="28"/>
        </w:rPr>
        <w:t xml:space="preserve">за </w:t>
      </w:r>
      <w:r w:rsidRPr="00D03EED">
        <w:rPr>
          <w:rFonts w:ascii="Times New Roman" w:hAnsi="Times New Roman" w:cs="Times New Roman"/>
          <w:sz w:val="28"/>
          <w:szCs w:val="28"/>
        </w:rPr>
        <w:t>202</w:t>
      </w:r>
      <w:r w:rsidR="006212FB" w:rsidRPr="00D03EED">
        <w:rPr>
          <w:rFonts w:ascii="Times New Roman" w:hAnsi="Times New Roman" w:cs="Times New Roman"/>
          <w:sz w:val="28"/>
          <w:szCs w:val="28"/>
        </w:rPr>
        <w:t>0</w:t>
      </w:r>
      <w:r w:rsidRPr="00D03EED">
        <w:rPr>
          <w:rFonts w:ascii="Times New Roman" w:hAnsi="Times New Roman" w:cs="Times New Roman"/>
          <w:sz w:val="28"/>
          <w:szCs w:val="28"/>
        </w:rPr>
        <w:t xml:space="preserve"> рік</w:t>
      </w:r>
      <w:r w:rsidR="008B7133" w:rsidRPr="00D03EED">
        <w:rPr>
          <w:rFonts w:ascii="Times New Roman" w:hAnsi="Times New Roman" w:cs="Times New Roman"/>
          <w:sz w:val="28"/>
          <w:szCs w:val="28"/>
        </w:rPr>
        <w:t xml:space="preserve">  5%</w:t>
      </w:r>
      <w:r w:rsidR="00731082" w:rsidRPr="00D03EED">
        <w:rPr>
          <w:rFonts w:ascii="Times New Roman" w:hAnsi="Times New Roman" w:cs="Times New Roman"/>
          <w:sz w:val="28"/>
          <w:szCs w:val="28"/>
        </w:rPr>
        <w:t>;</w:t>
      </w:r>
    </w:p>
    <w:p w:rsidR="002824AB" w:rsidRPr="00D03EED" w:rsidRDefault="002824AB" w:rsidP="0073108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адміністрування податків і зборів:</w:t>
      </w:r>
    </w:p>
    <w:p w:rsidR="009D1A40" w:rsidRPr="00D03EED" w:rsidRDefault="002824AB" w:rsidP="009D1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 надати право контролюючим органам стягувати податковий борг, який виник у результаті несплати самостійно визначеного платником грошового зобов'язання у податковій декларації або уточнюючому розрахунку, за рахунок готівки та/або коштів з рахунків у банках такого боржника за рішенням контролюючого органу без звернення до суду;</w:t>
      </w:r>
    </w:p>
    <w:p w:rsidR="009D1A40" w:rsidRPr="00D03EED" w:rsidRDefault="009D1A40" w:rsidP="009D1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- </w:t>
      </w:r>
      <w:r w:rsidR="002D7F3B" w:rsidRPr="00D03EED">
        <w:rPr>
          <w:rFonts w:ascii="Times New Roman" w:hAnsi="Times New Roman" w:cs="Times New Roman"/>
          <w:sz w:val="28"/>
          <w:szCs w:val="28"/>
        </w:rPr>
        <w:t>встановити</w:t>
      </w:r>
      <w:r w:rsidRPr="00D03EED">
        <w:rPr>
          <w:rFonts w:ascii="Times New Roman" w:hAnsi="Times New Roman" w:cs="Times New Roman"/>
          <w:sz w:val="28"/>
          <w:szCs w:val="28"/>
        </w:rPr>
        <w:t xml:space="preserve"> забезпечення податковою заставою донарахованих за результатами контрольно-перевірочної роботи сум грошових зобов’язань, на час адміністративного або судового оскарження;</w:t>
      </w:r>
    </w:p>
    <w:p w:rsidR="009D1A40" w:rsidRPr="00D03EED" w:rsidRDefault="009D1A40" w:rsidP="002D7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- </w:t>
      </w:r>
      <w:r w:rsidR="002D7F3B" w:rsidRPr="00D03EED">
        <w:rPr>
          <w:rFonts w:ascii="Times New Roman" w:hAnsi="Times New Roman" w:cs="Times New Roman"/>
          <w:sz w:val="28"/>
          <w:szCs w:val="28"/>
        </w:rPr>
        <w:t>встановити тимчасове обмеження (за рішенням суду) у праві виїзду керівника юридичної особи – боржника за кордон до повного погашення податкового боргу;</w:t>
      </w:r>
    </w:p>
    <w:p w:rsidR="002D7F3B" w:rsidRPr="00D03EED" w:rsidRDefault="002D7F3B" w:rsidP="002D7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 надати право податковим органам отримувати на запит інформацію (пояснення) від платника не лише по факту виявленого правопорушення, а й з інших питань, пов’язаних з оподаткуванням, можливих порушеннях у господарській діяльності платника, здійснених операціях;</w:t>
      </w:r>
    </w:p>
    <w:p w:rsidR="00731082" w:rsidRPr="00D03EED" w:rsidRDefault="00731082" w:rsidP="00184B7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31082" w:rsidRPr="00D03EED" w:rsidRDefault="00731082" w:rsidP="00184B7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84B70" w:rsidRPr="00D03EED" w:rsidRDefault="00184B70" w:rsidP="00184B7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в частині податку на доходи фізичних осіб:</w:t>
      </w:r>
    </w:p>
    <w:p w:rsidR="002824AB" w:rsidRPr="00D03EED" w:rsidRDefault="002106FD" w:rsidP="002106F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eastAsia="Times New Roman" w:hAnsi="Times New Roman" w:cs="Times New Roman"/>
          <w:sz w:val="28"/>
          <w:szCs w:val="28"/>
        </w:rPr>
        <w:t>запровадити оподаткування ПДФО за ставкою 18% доходів, отриманих від продажу протягом звітного податкового року третього та наступних об’єктів нерухомості</w:t>
      </w:r>
      <w:r w:rsidR="00731082" w:rsidRPr="00D03EE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3A1A" w:rsidRPr="00D03EED" w:rsidRDefault="00AF3A1A" w:rsidP="002106F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звільнити від оподаткування податком на доходи фізичних осіб доходи</w:t>
      </w:r>
      <w:bookmarkStart w:id="4" w:name="n17543"/>
      <w:bookmarkEnd w:id="4"/>
      <w:r w:rsidRPr="00D03EED">
        <w:rPr>
          <w:rFonts w:ascii="Times New Roman" w:hAnsi="Times New Roman" w:cs="Times New Roman"/>
          <w:sz w:val="28"/>
          <w:szCs w:val="28"/>
        </w:rPr>
        <w:t>, отримані платником податку у вигляді часткової або повної компенсації відсоткових (процентних) ставок, яка виплачується в рамках бюджетної програми «Забезпечення функціонування Фонду розвитку підприємництва»</w:t>
      </w:r>
      <w:r w:rsidR="004D32F3">
        <w:rPr>
          <w:rFonts w:ascii="Times New Roman" w:hAnsi="Times New Roman" w:cs="Times New Roman"/>
          <w:sz w:val="28"/>
          <w:szCs w:val="28"/>
        </w:rPr>
        <w:t xml:space="preserve"> </w:t>
      </w:r>
      <w:r w:rsidR="00A705B3">
        <w:rPr>
          <w:rFonts w:ascii="Times New Roman" w:hAnsi="Times New Roman" w:cs="Times New Roman"/>
          <w:sz w:val="28"/>
          <w:szCs w:val="28"/>
        </w:rPr>
        <w:t>та державної програми впровадження фінансово-кредитних механізмів забезпечення громадян житлом на умовах, визначених Кабінетом Міністрів України</w:t>
      </w:r>
      <w:r w:rsidR="00A705B3" w:rsidRPr="00A705B3">
        <w:rPr>
          <w:rFonts w:ascii="Times New Roman" w:hAnsi="Times New Roman" w:cs="Times New Roman"/>
          <w:sz w:val="28"/>
          <w:szCs w:val="28"/>
        </w:rPr>
        <w:t>, а також суми коштів, отриманих платником податку на безповоротній основі від Фонду розвитку інновацій</w:t>
      </w:r>
      <w:r w:rsidRPr="00D03EED">
        <w:rPr>
          <w:rFonts w:ascii="Times New Roman" w:hAnsi="Times New Roman" w:cs="Times New Roman"/>
          <w:sz w:val="28"/>
          <w:szCs w:val="28"/>
        </w:rPr>
        <w:t>;</w:t>
      </w:r>
    </w:p>
    <w:p w:rsidR="00502FBA" w:rsidRPr="00D03EED" w:rsidRDefault="00502FBA" w:rsidP="0045113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податку на прибуток підприємств</w:t>
      </w:r>
    </w:p>
    <w:p w:rsidR="00502FBA" w:rsidRPr="00D03EED" w:rsidRDefault="00502FBA" w:rsidP="00502FB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встановити обмеження для великих платників податків на перенесення від’ємного значення об’єкта оподаткування минулих звітних (податкових) років у сумі п’ятдесяти відсотків такого непогашеного від’ємного значення об’єкта оподаткування</w:t>
      </w:r>
      <w:r w:rsidRPr="00D03EED">
        <w:rPr>
          <w:rFonts w:ascii="Times New Roman" w:hAnsi="Times New Roman" w:cs="Times New Roman"/>
          <w:sz w:val="28"/>
          <w:szCs w:val="28"/>
        </w:rPr>
        <w:t>;</w:t>
      </w:r>
    </w:p>
    <w:p w:rsidR="005C4722" w:rsidRPr="005C4722" w:rsidRDefault="005C4722" w:rsidP="005C472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запровадити заборону для державних унітарних підприємств та господарських товариств, у статутному капіталі яких більше 50 відсотків акцій (часток) належить державі, зменшувати фінансовий результат до оподаткування відповідно до положень підпункту 139.2.2. пункту 139.2 статті 139 Кодексу у разі, </w:t>
      </w:r>
      <w:r w:rsidRPr="005C4722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визначення методів обчислення  величини резерву сумнівних боргів (резерву очікуваних кредитних збитків) та способу визначення коефіцієнта сумнівності не погоджена з власником (власниками) або уповноваженим ним органом (посадовою особою) відповідно до законодавства;</w:t>
      </w:r>
    </w:p>
    <w:p w:rsidR="00E93247" w:rsidRPr="00D03EED" w:rsidRDefault="00502FBA" w:rsidP="00502FB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D03EE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встановити</w:t>
      </w:r>
      <w:proofErr w:type="spellEnd"/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коригування фінансового результату до оподаткування на суму перерахованої безповоротної фінансової допомоги платникам податку, які є пов’язаними особами (у разі якщо отримувачем фінансової допомоги (безоплатно наданих товарів, робіт, послуг) задеклароване від’ємне значення об’єкта оподаткування за період, в якому отримано таку фінансову допомогу (безоплатно надані товари, робіти, послуги)</w:t>
      </w:r>
      <w:r w:rsidRPr="00D03EE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731082" w:rsidRPr="00D03EED" w:rsidRDefault="00731082" w:rsidP="0073108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податку на додану вартість:</w:t>
      </w:r>
    </w:p>
    <w:p w:rsidR="00731082" w:rsidRPr="006E2BCE" w:rsidRDefault="00731082" w:rsidP="00731082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B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встановлення </w:t>
      </w:r>
      <w:r w:rsidRPr="006E2BCE">
        <w:rPr>
          <w:rFonts w:ascii="Times New Roman" w:hAnsi="Times New Roman" w:cs="Times New Roman"/>
          <w:sz w:val="28"/>
          <w:szCs w:val="28"/>
        </w:rPr>
        <w:t>обмеження бюджетного відшкодування ПДВ для платників-посередників, у разі придбання та/або імпорту товарів, що у подальшому постачаються на митній території України;</w:t>
      </w:r>
    </w:p>
    <w:p w:rsidR="00731082" w:rsidRPr="00D03EED" w:rsidRDefault="00731082" w:rsidP="00731082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розширення бази оподаткування за рахунок оподаткування операцій з постачання всього ринку житла (об’єктів житлового фонду), крім житла, що будується за бюджетні кошти</w:t>
      </w:r>
      <w:r w:rsidRPr="00D03EED">
        <w:rPr>
          <w:rFonts w:ascii="Times New Roman" w:hAnsi="Times New Roman" w:cs="Times New Roman"/>
          <w:i/>
          <w:sz w:val="28"/>
          <w:szCs w:val="28"/>
        </w:rPr>
        <w:t xml:space="preserve"> (рівні умови ведення бізнесу для всіх учасників ринку житла враховуючи, що в умовах ринкової економіки ціни на житло формуються з урахуванням попиту та пропозиції)</w:t>
      </w:r>
      <w:r w:rsidRPr="00D03EED">
        <w:rPr>
          <w:rFonts w:ascii="Times New Roman" w:hAnsi="Times New Roman" w:cs="Times New Roman"/>
          <w:sz w:val="28"/>
          <w:szCs w:val="28"/>
        </w:rPr>
        <w:t>;</w:t>
      </w:r>
    </w:p>
    <w:p w:rsidR="00731082" w:rsidRPr="00D03EED" w:rsidRDefault="00731082" w:rsidP="00731082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lastRenderedPageBreak/>
        <w:t>запровадження оподаткування ПДВ операцій з реалізації Національним банком України дорогоцінних металів (крім інвестиційного золота) фізичним та юридичним особам;</w:t>
      </w:r>
    </w:p>
    <w:p w:rsidR="00731082" w:rsidRPr="00D03EED" w:rsidRDefault="00731082" w:rsidP="00731082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обмеження можливості включення платниками податку до складу податкового кредиту податкових накладних, складених більше ніж 6 місяців з моменту здійснення операції;</w:t>
      </w:r>
    </w:p>
    <w:p w:rsidR="00184B70" w:rsidRPr="00D03EED" w:rsidRDefault="00184B70" w:rsidP="0026159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акцизного податку:</w:t>
      </w:r>
    </w:p>
    <w:p w:rsidR="001F5D53" w:rsidRDefault="001F5D53" w:rsidP="001F5D53">
      <w:pPr>
        <w:pStyle w:val="a8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84B7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84B70">
        <w:rPr>
          <w:rFonts w:ascii="Times New Roman" w:hAnsi="Times New Roman" w:cs="Times New Roman"/>
          <w:sz w:val="28"/>
          <w:szCs w:val="28"/>
        </w:rPr>
        <w:t>касувати пільгу з акцизного податку для платників, які здійснюють постачання електричної енергії (</w:t>
      </w:r>
      <w:proofErr w:type="spellStart"/>
      <w:r w:rsidRPr="00184B70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Pr="00184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та/або з відновлювальних джерел);</w:t>
      </w:r>
    </w:p>
    <w:p w:rsidR="005279F5" w:rsidRPr="00D03EED" w:rsidRDefault="005279F5" w:rsidP="005C4722">
      <w:pPr>
        <w:pStyle w:val="a8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 скасувати процедури призупинення ліцензій на виробництво та обіг підакцизних товарів, одночасно уніфікувавши та доповнивши підстави для анулювання ліцензій;</w:t>
      </w:r>
    </w:p>
    <w:p w:rsidR="005279F5" w:rsidRPr="00D03EED" w:rsidRDefault="005279F5" w:rsidP="005C4722">
      <w:pPr>
        <w:pStyle w:val="a8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 обмежити накопичення запасів тютюнових виробів перед підвищенням ставок акцизного податку, а саме встановити сплату акцизного податку із застосуванням коефіцієнта 1,5 за реалізацію на внутрішній ринок та/або ввезення на митну територію України тютюнових виробів у розмірі, що перевищує 115 відсотків середньомісячного обсягу реалізації на внутрішньому ринку такої продукції або її ввезення таким підприємством-виробником та/або імпортером за попередні дев’ять місяців;</w:t>
      </w:r>
    </w:p>
    <w:p w:rsidR="005279F5" w:rsidRPr="00D03EED" w:rsidRDefault="005279F5" w:rsidP="005C4722">
      <w:pPr>
        <w:pStyle w:val="a8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</w:t>
      </w:r>
      <w:r w:rsidR="007105DF">
        <w:rPr>
          <w:rFonts w:ascii="Times New Roman" w:hAnsi="Times New Roman" w:cs="Times New Roman"/>
          <w:sz w:val="28"/>
          <w:szCs w:val="28"/>
        </w:rPr>
        <w:t> </w:t>
      </w:r>
      <w:r w:rsidRPr="00D03EED">
        <w:rPr>
          <w:rFonts w:ascii="Times New Roman" w:hAnsi="Times New Roman" w:cs="Times New Roman"/>
          <w:sz w:val="28"/>
          <w:szCs w:val="28"/>
        </w:rPr>
        <w:t>запровадити звітування тютюново-ферментаційними заводами про обсяги імпорту, виробництва та обігу тютюнової сировини та прирівняти  таке звітування до податкової декларації;</w:t>
      </w:r>
    </w:p>
    <w:p w:rsidR="005279F5" w:rsidRPr="00D03EED" w:rsidRDefault="005279F5" w:rsidP="005C472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>- перенести на виробників та імпортерів обов’язок сплати 5-відсоткового акцизного податку з роздрібного продажу тютюнових виробів, який на сьогодні сплачують суб’єкти роздрібної торгівлі;</w:t>
      </w:r>
    </w:p>
    <w:p w:rsidR="00184B70" w:rsidRPr="00D03EED" w:rsidRDefault="009A47FC" w:rsidP="0066200B">
      <w:pPr>
        <w:pStyle w:val="a8"/>
        <w:tabs>
          <w:tab w:val="left" w:pos="0"/>
        </w:tabs>
        <w:spacing w:before="120" w:after="0"/>
        <w:ind w:left="0" w:firstLine="567"/>
        <w:contextualSpacing w:val="0"/>
        <w:jc w:val="both"/>
        <w:rPr>
          <w:rStyle w:val="af"/>
          <w:i w:val="0"/>
          <w:iCs w:val="0"/>
          <w:sz w:val="28"/>
          <w:szCs w:val="28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екологічного податку</w:t>
      </w:r>
    </w:p>
    <w:p w:rsidR="00184B70" w:rsidRPr="00CF1F30" w:rsidRDefault="009A47FC" w:rsidP="00B26B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- 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ставки екологічного податку за скиди забруднюючих речовин у водні об’єкти збільшити в </w:t>
      </w:r>
      <w:r w:rsidR="00EB788D"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>1,6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рази та передбачити їх підвищення у </w:t>
      </w:r>
      <w:r w:rsidR="00EB788D"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разів у 20</w:t>
      </w:r>
      <w:r w:rsidR="00111877" w:rsidRPr="00CF1F3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29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році (поступово);</w:t>
      </w:r>
    </w:p>
    <w:p w:rsidR="00184B70" w:rsidRPr="00CF1F30" w:rsidRDefault="009A47FC" w:rsidP="00184B7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1F30">
        <w:rPr>
          <w:rFonts w:ascii="Times New Roman" w:hAnsi="Times New Roman" w:cs="Times New Roman"/>
          <w:sz w:val="28"/>
          <w:szCs w:val="28"/>
        </w:rPr>
        <w:t xml:space="preserve">- 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>підвищити ставки екологічного податку за викиди двоокису вуглецю (СО2) з 10 грн/т до 30 грн/тонну;</w:t>
      </w:r>
    </w:p>
    <w:p w:rsidR="009A47FC" w:rsidRPr="00D03EED" w:rsidRDefault="009A47FC" w:rsidP="00184B7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8551E6"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>підвищити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ставки екологічного податку за відходи для підприємств гірничої промисловості з 0,49 грн до </w:t>
      </w:r>
      <w:r w:rsidR="00EB788D"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>1,5</w:t>
      </w:r>
      <w:r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грн/тонну</w:t>
      </w:r>
      <w:r w:rsidR="008551E6" w:rsidRPr="00CF1F30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184B70" w:rsidRPr="00D03EED" w:rsidRDefault="008551E6" w:rsidP="008551E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рентної плати за користування надрами для видобування корисних копалин</w:t>
      </w:r>
    </w:p>
    <w:p w:rsidR="00184B70" w:rsidRPr="00D03EED" w:rsidRDefault="008551E6" w:rsidP="00184B7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F25D73"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розширити базу оподаткування за рахунок забезпечення єдиного </w:t>
      </w:r>
      <w:r w:rsidRPr="00D03EED">
        <w:rPr>
          <w:rFonts w:ascii="Times New Roman" w:hAnsi="Times New Roman" w:cs="Times New Roman"/>
          <w:bCs/>
          <w:sz w:val="28"/>
          <w:szCs w:val="28"/>
        </w:rPr>
        <w:t>підходу до визначення об’єкта оподаткування шляхом класифікації видобутої мінеральної сировини згідно з галузевими вимогами з метою усунення можливості платника суб’єктивно визначати вартість корисної копалини;</w:t>
      </w:r>
    </w:p>
    <w:p w:rsidR="00E316D1" w:rsidRPr="00CF1F30" w:rsidRDefault="00E316D1" w:rsidP="00E316D1">
      <w:pPr>
        <w:pStyle w:val="HTML"/>
        <w:spacing w:before="60" w:after="6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03EED">
        <w:rPr>
          <w:rFonts w:ascii="Times New Roman" w:hAnsi="Times New Roman"/>
          <w:bCs/>
          <w:sz w:val="28"/>
          <w:szCs w:val="28"/>
          <w:lang w:val="uk-UA"/>
        </w:rPr>
        <w:t>-</w:t>
      </w:r>
      <w:r w:rsidR="00F25D73" w:rsidRPr="00D03EED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D03EED">
        <w:rPr>
          <w:rFonts w:ascii="Times New Roman" w:hAnsi="Times New Roman"/>
          <w:bCs/>
          <w:sz w:val="28"/>
          <w:szCs w:val="28"/>
          <w:lang w:val="uk-UA"/>
        </w:rPr>
        <w:t xml:space="preserve">запровадити </w:t>
      </w:r>
      <w:r w:rsidR="008B7133" w:rsidRPr="00D03EED">
        <w:rPr>
          <w:rFonts w:ascii="Times New Roman" w:hAnsi="Times New Roman"/>
          <w:bCs/>
          <w:sz w:val="28"/>
          <w:szCs w:val="28"/>
          <w:lang w:val="uk-UA"/>
        </w:rPr>
        <w:t>диференціаці</w:t>
      </w:r>
      <w:r w:rsidR="00F25D73" w:rsidRPr="00D03EED">
        <w:rPr>
          <w:rFonts w:ascii="Times New Roman" w:hAnsi="Times New Roman"/>
          <w:bCs/>
          <w:sz w:val="28"/>
          <w:szCs w:val="28"/>
          <w:lang w:val="uk-UA"/>
        </w:rPr>
        <w:t>ю</w:t>
      </w:r>
      <w:r w:rsidR="008B7133" w:rsidRPr="00D03EED">
        <w:rPr>
          <w:rFonts w:ascii="Times New Roman" w:hAnsi="Times New Roman"/>
          <w:bCs/>
          <w:sz w:val="28"/>
          <w:szCs w:val="28"/>
          <w:lang w:val="uk-UA"/>
        </w:rPr>
        <w:t xml:space="preserve"> ставок оподаткування руд заліза в залежності від розміру </w:t>
      </w:r>
      <w:r w:rsidR="008B7133" w:rsidRPr="00CF1F30">
        <w:rPr>
          <w:rFonts w:ascii="Times New Roman" w:hAnsi="Times New Roman"/>
          <w:bCs/>
          <w:sz w:val="28"/>
          <w:szCs w:val="28"/>
          <w:lang w:val="uk-UA"/>
        </w:rPr>
        <w:t>середньої</w:t>
      </w:r>
      <w:r w:rsidR="008B7133" w:rsidRPr="00CF1F3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F1F30">
        <w:rPr>
          <w:rFonts w:ascii="Times New Roman" w:hAnsi="Times New Roman"/>
          <w:bCs/>
          <w:sz w:val="28"/>
          <w:szCs w:val="28"/>
          <w:lang w:val="uk-UA"/>
        </w:rPr>
        <w:t>ф</w:t>
      </w:r>
      <w:r w:rsidRPr="00CF1F30">
        <w:rPr>
          <w:rFonts w:ascii="Times New Roman" w:hAnsi="Times New Roman"/>
          <w:sz w:val="28"/>
          <w:szCs w:val="28"/>
          <w:lang w:val="uk-UA" w:eastAsia="uk-UA"/>
        </w:rPr>
        <w:t xml:space="preserve">актичної ціни реалізації визначеної, як </w:t>
      </w:r>
      <w:r w:rsidRPr="00CF1F30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середня вартість залізної руди за індексом IODEX 62% FE CFR </w:t>
      </w:r>
      <w:proofErr w:type="spellStart"/>
      <w:r w:rsidRPr="00CF1F30">
        <w:rPr>
          <w:rFonts w:ascii="Times New Roman" w:hAnsi="Times New Roman"/>
          <w:sz w:val="28"/>
          <w:szCs w:val="28"/>
          <w:lang w:val="uk-UA" w:eastAsia="uk-UA"/>
        </w:rPr>
        <w:t>China</w:t>
      </w:r>
      <w:proofErr w:type="spellEnd"/>
      <w:r w:rsidRPr="00CF1F30">
        <w:rPr>
          <w:rFonts w:ascii="Times New Roman" w:hAnsi="Times New Roman"/>
          <w:sz w:val="28"/>
          <w:szCs w:val="28"/>
          <w:lang w:val="uk-UA" w:eastAsia="uk-UA"/>
        </w:rPr>
        <w:t>, за інформацією</w:t>
      </w:r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що офіційно зазначена світовим інформаційним агентством </w:t>
      </w:r>
      <w:proofErr w:type="spellStart"/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Platts</w:t>
      </w:r>
      <w:proofErr w:type="spellEnd"/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та опублікованої на офіційному </w:t>
      </w:r>
      <w:proofErr w:type="spellStart"/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вебсайті</w:t>
      </w:r>
      <w:proofErr w:type="spellEnd"/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Мінекономіки;</w:t>
      </w:r>
    </w:p>
    <w:p w:rsidR="007105DF" w:rsidRPr="00CF1F30" w:rsidRDefault="007105DF" w:rsidP="007105DF">
      <w:pPr>
        <w:pStyle w:val="HTML"/>
        <w:spacing w:before="60" w:after="6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- </w:t>
      </w:r>
      <w:r w:rsidR="00E3117A"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становити</w:t>
      </w:r>
      <w:r w:rsidR="00587037"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коригування </w:t>
      </w:r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баз</w:t>
      </w:r>
      <w:r w:rsidR="00587037"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>и</w:t>
      </w:r>
      <w:r w:rsidRPr="00CF1F3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оподаткування руд заліза на коефіцієнт сухої ваги товарної продукції (0,9);</w:t>
      </w:r>
    </w:p>
    <w:p w:rsidR="00E93247" w:rsidRPr="00CF1F30" w:rsidRDefault="00E93247" w:rsidP="008551E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F1F30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рентної плати за спеціальне використання води</w:t>
      </w:r>
    </w:p>
    <w:p w:rsidR="00E93247" w:rsidRPr="00D03EED" w:rsidRDefault="00E93247" w:rsidP="00E9324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F30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встановити диференціацію ставок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рентної плати за спеціальне використання поверхневих вод в залежності від 9 районів річкових басейнів замість 14</w:t>
      </w:r>
      <w:r w:rsidR="008551E6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басейнів річок;</w:t>
      </w:r>
    </w:p>
    <w:p w:rsidR="008551E6" w:rsidRPr="00D03EED" w:rsidRDefault="008551E6" w:rsidP="008551E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плати за землю:</w:t>
      </w:r>
    </w:p>
    <w:p w:rsidR="008551E6" w:rsidRPr="00D03EED" w:rsidRDefault="008551E6" w:rsidP="008551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3EED">
        <w:rPr>
          <w:rFonts w:ascii="Times New Roman" w:hAnsi="Times New Roman" w:cs="Times New Roman"/>
          <w:bCs/>
          <w:sz w:val="28"/>
          <w:szCs w:val="28"/>
        </w:rPr>
        <w:t>- розши</w:t>
      </w:r>
      <w:r w:rsidR="007447E9" w:rsidRPr="00D03EED">
        <w:rPr>
          <w:rFonts w:ascii="Times New Roman" w:hAnsi="Times New Roman" w:cs="Times New Roman"/>
          <w:bCs/>
          <w:sz w:val="28"/>
          <w:szCs w:val="28"/>
        </w:rPr>
        <w:t>рити</w:t>
      </w:r>
      <w:r w:rsidRPr="00D03EED">
        <w:rPr>
          <w:rFonts w:ascii="Times New Roman" w:hAnsi="Times New Roman" w:cs="Times New Roman"/>
          <w:bCs/>
          <w:sz w:val="28"/>
          <w:szCs w:val="28"/>
        </w:rPr>
        <w:t xml:space="preserve"> баз</w:t>
      </w:r>
      <w:r w:rsidR="007447E9" w:rsidRPr="00D03EED">
        <w:rPr>
          <w:rFonts w:ascii="Times New Roman" w:hAnsi="Times New Roman" w:cs="Times New Roman"/>
          <w:bCs/>
          <w:sz w:val="28"/>
          <w:szCs w:val="28"/>
        </w:rPr>
        <w:t>у</w:t>
      </w:r>
      <w:r w:rsidRPr="00D03EED">
        <w:rPr>
          <w:rFonts w:ascii="Times New Roman" w:hAnsi="Times New Roman" w:cs="Times New Roman"/>
          <w:bCs/>
          <w:sz w:val="28"/>
          <w:szCs w:val="28"/>
        </w:rPr>
        <w:t xml:space="preserve"> оподаткування за рахунок запровадження оподаткування земельним податком земельних ділянок, право власності на які не оформлено, але в</w:t>
      </w:r>
      <w:r w:rsidR="007447E9" w:rsidRPr="00D03EED">
        <w:rPr>
          <w:rFonts w:ascii="Times New Roman" w:hAnsi="Times New Roman" w:cs="Times New Roman"/>
          <w:bCs/>
          <w:sz w:val="28"/>
          <w:szCs w:val="28"/>
        </w:rPr>
        <w:t xml:space="preserve">они фактичного </w:t>
      </w:r>
      <w:r w:rsidR="007447E9"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>використовуються;</w:t>
      </w:r>
    </w:p>
    <w:p w:rsidR="007447E9" w:rsidRPr="00D03EED" w:rsidRDefault="007447E9" w:rsidP="00744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03EED">
        <w:rPr>
          <w:rFonts w:ascii="Times New Roman" w:hAnsi="Times New Roman" w:cs="Times New Roman"/>
          <w:sz w:val="28"/>
          <w:szCs w:val="28"/>
        </w:rPr>
        <w:t>скасувати пільги з плати за землю за земельні ділянки, надані закладам науки, які повністю утримуються за рахунок коштів державного або місцевих бюджетів (у разі нецільового використання земельних ділянок);</w:t>
      </w:r>
    </w:p>
    <w:p w:rsidR="00E93247" w:rsidRPr="00D03EED" w:rsidRDefault="007447E9" w:rsidP="007447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- скасувати мораторій на індексацію нормативної грошової оцінки </w:t>
      </w:r>
      <w:r w:rsidR="002601E2" w:rsidRPr="00D03EED">
        <w:rPr>
          <w:rFonts w:ascii="Times New Roman" w:hAnsi="Times New Roman" w:cs="Times New Roman"/>
          <w:sz w:val="28"/>
          <w:szCs w:val="28"/>
        </w:rPr>
        <w:t xml:space="preserve">для всіх </w:t>
      </w:r>
      <w:r w:rsidRPr="00D03EED">
        <w:rPr>
          <w:rFonts w:ascii="Times New Roman" w:hAnsi="Times New Roman" w:cs="Times New Roman"/>
          <w:sz w:val="28"/>
          <w:szCs w:val="28"/>
        </w:rPr>
        <w:t xml:space="preserve">земель, </w:t>
      </w:r>
      <w:r w:rsidR="002601E2" w:rsidRPr="00D03EED">
        <w:rPr>
          <w:rFonts w:ascii="Times New Roman" w:hAnsi="Times New Roman" w:cs="Times New Roman"/>
          <w:sz w:val="28"/>
          <w:szCs w:val="28"/>
        </w:rPr>
        <w:t>крім  сільськогосподарських угідь,</w:t>
      </w:r>
      <w:r w:rsidR="002601E2" w:rsidRPr="00D03E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3EED">
        <w:rPr>
          <w:rFonts w:ascii="Times New Roman" w:hAnsi="Times New Roman" w:cs="Times New Roman"/>
          <w:sz w:val="28"/>
          <w:szCs w:val="28"/>
        </w:rPr>
        <w:t>яка використовується для цілей оподаткування платою за землю</w:t>
      </w:r>
      <w:r w:rsidRPr="00D03EED">
        <w:rPr>
          <w:rFonts w:ascii="Times New Roman" w:hAnsi="Times New Roman" w:cs="Times New Roman"/>
          <w:i/>
          <w:sz w:val="28"/>
          <w:szCs w:val="28"/>
        </w:rPr>
        <w:t xml:space="preserve"> (земель водного фонду (внутрішніх водойм, озер, ставків, водосховищ), земель насе</w:t>
      </w:r>
      <w:r w:rsidR="002824AB" w:rsidRPr="00D03EED">
        <w:rPr>
          <w:rFonts w:ascii="Times New Roman" w:hAnsi="Times New Roman" w:cs="Times New Roman"/>
          <w:i/>
          <w:sz w:val="28"/>
          <w:szCs w:val="28"/>
        </w:rPr>
        <w:t>лених пунктів, інших земель несільськогосподарського</w:t>
      </w:r>
      <w:r w:rsidRPr="00D03EED">
        <w:rPr>
          <w:rFonts w:ascii="Times New Roman" w:hAnsi="Times New Roman" w:cs="Times New Roman"/>
          <w:i/>
          <w:sz w:val="28"/>
          <w:szCs w:val="28"/>
        </w:rPr>
        <w:t xml:space="preserve"> призначення)</w:t>
      </w:r>
      <w:r w:rsidR="002601E2" w:rsidRPr="00D03EED">
        <w:rPr>
          <w:rFonts w:ascii="Times New Roman" w:hAnsi="Times New Roman" w:cs="Times New Roman"/>
          <w:i/>
          <w:sz w:val="28"/>
          <w:szCs w:val="28"/>
        </w:rPr>
        <w:t>;</w:t>
      </w:r>
      <w:r w:rsidR="00E316D1" w:rsidRPr="00D03EE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47E9" w:rsidRPr="00D03EED" w:rsidRDefault="002824AB" w:rsidP="00A745E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єдиного податку:</w:t>
      </w:r>
    </w:p>
    <w:p w:rsidR="001F5D53" w:rsidRPr="001F5D53" w:rsidRDefault="001F5D53" w:rsidP="001F5D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D53">
        <w:rPr>
          <w:rFonts w:ascii="Times New Roman" w:hAnsi="Times New Roman" w:cs="Times New Roman"/>
          <w:sz w:val="28"/>
          <w:szCs w:val="28"/>
        </w:rPr>
        <w:t>- виключити з платників єдиного податку 4 групи платників, основним видом діяльності яких є розведення свійської птиці, страусів та перепелів;</w:t>
      </w:r>
    </w:p>
    <w:p w:rsidR="00F039A8" w:rsidRPr="00D03EED" w:rsidRDefault="00F039A8" w:rsidP="00F039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 не включати до складу доходу платників єдиного податку першої – третьої групи доходи, отримані у вигляді часткової або повної компенсації відсоткових (процентних) ставок, яка виплачується в рамках бюджетної програми «Забезпечення функціонування Фонду розвитку підприємництва»</w:t>
      </w:r>
      <w:r w:rsidR="004D32F3">
        <w:rPr>
          <w:rFonts w:ascii="Times New Roman" w:hAnsi="Times New Roman" w:cs="Times New Roman"/>
          <w:sz w:val="28"/>
          <w:szCs w:val="28"/>
        </w:rPr>
        <w:t xml:space="preserve"> </w:t>
      </w:r>
      <w:r w:rsidR="00A705B3">
        <w:rPr>
          <w:rFonts w:ascii="Times New Roman" w:hAnsi="Times New Roman" w:cs="Times New Roman"/>
          <w:sz w:val="28"/>
          <w:szCs w:val="28"/>
        </w:rPr>
        <w:t>та державної програми впровадження фінансово-кредитних механізмів забезпечення громадян житлом на умовах, визначених Кабінетом Міністрів України</w:t>
      </w:r>
      <w:r w:rsidR="00A705B3" w:rsidRPr="00A705B3">
        <w:rPr>
          <w:rFonts w:ascii="Times New Roman" w:hAnsi="Times New Roman" w:cs="Times New Roman"/>
          <w:sz w:val="28"/>
          <w:szCs w:val="28"/>
        </w:rPr>
        <w:t>, а також суми коштів, отриманих платником податку на безповоротній основі від Фонду розвитку інновацій</w:t>
      </w:r>
      <w:r w:rsidRPr="00D03EED">
        <w:rPr>
          <w:rFonts w:ascii="Times New Roman" w:hAnsi="Times New Roman" w:cs="Times New Roman"/>
          <w:sz w:val="28"/>
          <w:szCs w:val="28"/>
        </w:rPr>
        <w:t>;</w:t>
      </w:r>
    </w:p>
    <w:p w:rsidR="00F10565" w:rsidRPr="00D03EED" w:rsidRDefault="00F10565" w:rsidP="00F1056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03EED">
        <w:rPr>
          <w:rFonts w:ascii="Times New Roman" w:hAnsi="Times New Roman" w:cs="Times New Roman"/>
          <w:b/>
          <w:i/>
          <w:sz w:val="28"/>
          <w:szCs w:val="28"/>
          <w:u w:val="single"/>
        </w:rPr>
        <w:t>в частині військового збору:</w:t>
      </w:r>
    </w:p>
    <w:p w:rsidR="00F10565" w:rsidRPr="00D03EED" w:rsidRDefault="00F10565" w:rsidP="00F1056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D03EED">
        <w:rPr>
          <w:rFonts w:ascii="Times New Roman" w:hAnsi="Times New Roman" w:cs="Times New Roman"/>
          <w:sz w:val="28"/>
          <w:szCs w:val="28"/>
        </w:rPr>
        <w:t>- звільнити від оподаткування військовим збором доходи, отримані платником податку у вигляді часткової або повної компенсації відсоткових (процентних) ставок, яка виплачується в рамках бюджетної програми «Забезпечення функціонування Фонду розвитку підприємництва»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8B2" w:rsidRPr="00D03EED" w:rsidRDefault="00A418B2" w:rsidP="00A418B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Крім того, пропонується запровадити для власників та користувачів земельних ділянок сільськогосподарського призначення </w:t>
      </w:r>
      <w:r w:rsidR="008204F1" w:rsidRPr="00D03EED">
        <w:rPr>
          <w:rFonts w:ascii="Times New Roman" w:hAnsi="Times New Roman" w:cs="Times New Roman"/>
          <w:sz w:val="28"/>
          <w:szCs w:val="28"/>
        </w:rPr>
        <w:t xml:space="preserve">мінімального податкового зобов’язання з 1 гектара </w:t>
      </w:r>
      <w:r w:rsidRPr="00D03EED">
        <w:rPr>
          <w:rFonts w:ascii="Times New Roman" w:hAnsi="Times New Roman" w:cs="Times New Roman"/>
          <w:sz w:val="28"/>
          <w:szCs w:val="28"/>
        </w:rPr>
        <w:t>такої землі.</w:t>
      </w:r>
    </w:p>
    <w:p w:rsidR="00AF3A1A" w:rsidRPr="00D03EED" w:rsidRDefault="00AF3A1A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</w:pPr>
    </w:p>
    <w:p w:rsidR="00F1339E" w:rsidRPr="00D03EED" w:rsidRDefault="00F133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lastRenderedPageBreak/>
        <w:t>4. Правові аспекти</w:t>
      </w:r>
    </w:p>
    <w:p w:rsidR="007B786B" w:rsidRPr="00D03EED" w:rsidRDefault="007B786B" w:rsidP="00873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n226"/>
      <w:bookmarkEnd w:id="5"/>
      <w:r w:rsidRPr="00D03EED">
        <w:rPr>
          <w:rFonts w:ascii="Times New Roman" w:hAnsi="Times New Roman" w:cs="Times New Roman"/>
          <w:sz w:val="28"/>
          <w:szCs w:val="28"/>
        </w:rPr>
        <w:t>- Податковий кодекс України;</w:t>
      </w:r>
    </w:p>
    <w:p w:rsidR="002D7F3B" w:rsidRPr="00D03EED" w:rsidRDefault="000720DC" w:rsidP="00873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 xml:space="preserve">- </w:t>
      </w:r>
      <w:r w:rsidR="000F2872" w:rsidRPr="00D03EED">
        <w:rPr>
          <w:rFonts w:ascii="Times New Roman" w:hAnsi="Times New Roman" w:cs="Times New Roman"/>
          <w:sz w:val="28"/>
          <w:szCs w:val="28"/>
        </w:rPr>
        <w:t>Кодекс адміністративного судочинства України;</w:t>
      </w:r>
    </w:p>
    <w:p w:rsidR="00180A6E" w:rsidRPr="00D03EED" w:rsidRDefault="002D7F3B" w:rsidP="001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</w:t>
      </w:r>
      <w:r w:rsidR="00B26BF5" w:rsidRPr="00D03EED">
        <w:rPr>
          <w:rFonts w:ascii="Times New Roman" w:hAnsi="Times New Roman" w:cs="Times New Roman"/>
          <w:sz w:val="28"/>
          <w:szCs w:val="28"/>
        </w:rPr>
        <w:t> </w:t>
      </w:r>
      <w:r w:rsidR="000F2872" w:rsidRPr="00D03EED">
        <w:rPr>
          <w:rFonts w:ascii="Times New Roman" w:hAnsi="Times New Roman" w:cs="Times New Roman"/>
          <w:sz w:val="28"/>
          <w:szCs w:val="28"/>
        </w:rPr>
        <w:t>Закон України «Про порядок виїзду з України і в'їзду в Україну громадян України»;</w:t>
      </w:r>
    </w:p>
    <w:p w:rsidR="000720DC" w:rsidRPr="00D03EED" w:rsidRDefault="000720DC" w:rsidP="00180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</w:t>
      </w:r>
      <w:r w:rsidR="00B26BF5" w:rsidRPr="00D03EED">
        <w:rPr>
          <w:rFonts w:ascii="Times New Roman" w:hAnsi="Times New Roman" w:cs="Times New Roman"/>
          <w:sz w:val="28"/>
          <w:szCs w:val="28"/>
        </w:rPr>
        <w:t> </w:t>
      </w:r>
      <w:r w:rsidRPr="00D03EED">
        <w:rPr>
          <w:rFonts w:ascii="Times New Roman" w:hAnsi="Times New Roman"/>
          <w:sz w:val="28"/>
          <w:szCs w:val="28"/>
        </w:rPr>
        <w:t>Закон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пального»;</w:t>
      </w:r>
    </w:p>
    <w:p w:rsidR="000720DC" w:rsidRPr="00D03EED" w:rsidRDefault="000720DC" w:rsidP="00180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EED">
        <w:rPr>
          <w:rFonts w:ascii="Times New Roman" w:hAnsi="Times New Roman"/>
          <w:sz w:val="28"/>
          <w:szCs w:val="28"/>
        </w:rPr>
        <w:t>-</w:t>
      </w:r>
      <w:r w:rsidR="00B26BF5" w:rsidRPr="00D03EED">
        <w:rPr>
          <w:rFonts w:ascii="Times New Roman" w:hAnsi="Times New Roman"/>
          <w:sz w:val="28"/>
          <w:szCs w:val="28"/>
        </w:rPr>
        <w:t> </w:t>
      </w:r>
      <w:r w:rsidRPr="00D03EED">
        <w:rPr>
          <w:rFonts w:ascii="Times New Roman" w:hAnsi="Times New Roman"/>
          <w:sz w:val="28"/>
          <w:szCs w:val="28"/>
        </w:rPr>
        <w:t>Закон України «Про застосування реєстраторів розрахункових операцій у сфері торгівлі, громадського харчування та послуг»;</w:t>
      </w:r>
    </w:p>
    <w:p w:rsidR="000720DC" w:rsidRPr="00D03EED" w:rsidRDefault="000720DC" w:rsidP="00180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D03EED">
        <w:rPr>
          <w:rFonts w:ascii="Times New Roman" w:hAnsi="Times New Roman"/>
          <w:sz w:val="28"/>
          <w:szCs w:val="28"/>
        </w:rPr>
        <w:t xml:space="preserve">- </w:t>
      </w:r>
      <w:r w:rsidRPr="00D03EED">
        <w:rPr>
          <w:rFonts w:ascii="Times New Roman" w:hAnsi="Times New Roman"/>
          <w:bCs/>
          <w:sz w:val="28"/>
          <w:szCs w:val="28"/>
          <w:lang w:eastAsia="uk-UA"/>
        </w:rPr>
        <w:t>Закон України «Про місцеве самоврядування</w:t>
      </w:r>
      <w:r w:rsidR="00190747" w:rsidRPr="00D03EED">
        <w:rPr>
          <w:rFonts w:ascii="Times New Roman" w:hAnsi="Times New Roman"/>
          <w:bCs/>
          <w:sz w:val="28"/>
          <w:szCs w:val="28"/>
          <w:lang w:eastAsia="uk-UA"/>
        </w:rPr>
        <w:t xml:space="preserve"> в Україні</w:t>
      </w:r>
      <w:r w:rsidRPr="00D03EED">
        <w:rPr>
          <w:rFonts w:ascii="Times New Roman" w:hAnsi="Times New Roman"/>
          <w:bCs/>
          <w:sz w:val="28"/>
          <w:szCs w:val="28"/>
          <w:lang w:eastAsia="uk-UA"/>
        </w:rPr>
        <w:t>»;</w:t>
      </w:r>
    </w:p>
    <w:p w:rsidR="00180A6E" w:rsidRPr="00D03EED" w:rsidRDefault="000F2872" w:rsidP="001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-</w:t>
      </w:r>
      <w:r w:rsidR="00B26BF5" w:rsidRPr="00D03EED">
        <w:rPr>
          <w:rFonts w:ascii="Times New Roman" w:hAnsi="Times New Roman" w:cs="Times New Roman"/>
          <w:sz w:val="28"/>
          <w:szCs w:val="28"/>
        </w:rPr>
        <w:t> </w:t>
      </w:r>
      <w:r w:rsidRPr="00D03EED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="00270B88" w:rsidRPr="00D03EED">
        <w:rPr>
          <w:rFonts w:ascii="Times New Roman" w:hAnsi="Times New Roman" w:cs="Times New Roman"/>
          <w:sz w:val="28"/>
          <w:szCs w:val="28"/>
        </w:rPr>
        <w:t>«</w:t>
      </w:r>
      <w:r w:rsidR="00180A6E" w:rsidRPr="00D03EED">
        <w:rPr>
          <w:rFonts w:ascii="Times New Roman" w:hAnsi="Times New Roman" w:cs="Times New Roman"/>
          <w:sz w:val="28"/>
          <w:szCs w:val="28"/>
        </w:rPr>
        <w:t>Про ліцензування видів господарської діяльності</w:t>
      </w:r>
      <w:r w:rsidR="00270B88" w:rsidRPr="00D03EED">
        <w:rPr>
          <w:rFonts w:ascii="Times New Roman" w:hAnsi="Times New Roman" w:cs="Times New Roman"/>
          <w:sz w:val="28"/>
          <w:szCs w:val="28"/>
        </w:rPr>
        <w:t>»</w:t>
      </w:r>
      <w:r w:rsidR="00F25D73" w:rsidRPr="00D03EED">
        <w:rPr>
          <w:rFonts w:ascii="Times New Roman" w:hAnsi="Times New Roman" w:cs="Times New Roman"/>
          <w:sz w:val="28"/>
          <w:szCs w:val="28"/>
        </w:rPr>
        <w:t>.</w:t>
      </w:r>
    </w:p>
    <w:p w:rsidR="00B7189C" w:rsidRPr="00D03EED" w:rsidRDefault="00B7189C" w:rsidP="00873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9E" w:rsidRPr="00D03EED" w:rsidRDefault="00F133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bookmarkStart w:id="6" w:name="n227"/>
      <w:bookmarkEnd w:id="6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5. Фінансово-економічне обґрунтування</w:t>
      </w:r>
    </w:p>
    <w:p w:rsidR="007B786B" w:rsidRPr="00D03EED" w:rsidRDefault="007B786B" w:rsidP="00873A6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7" w:name="n228"/>
      <w:bookmarkEnd w:id="7"/>
      <w:r w:rsidRPr="00D03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законопроекту дозволить отримати </w:t>
      </w:r>
      <w:r w:rsidRPr="00D03EE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додаткові </w:t>
      </w:r>
      <w:r w:rsidRPr="00D03EED">
        <w:rPr>
          <w:rFonts w:ascii="Times New Roman" w:hAnsi="Times New Roman" w:cs="Times New Roman"/>
          <w:sz w:val="28"/>
          <w:szCs w:val="28"/>
        </w:rPr>
        <w:t xml:space="preserve">надходження до зведеного </w:t>
      </w:r>
      <w:r w:rsidRPr="00CF1F30">
        <w:rPr>
          <w:rFonts w:ascii="Times New Roman" w:hAnsi="Times New Roman" w:cs="Times New Roman"/>
          <w:sz w:val="28"/>
          <w:szCs w:val="28"/>
        </w:rPr>
        <w:t>бюджету</w:t>
      </w:r>
      <w:r w:rsidR="00F25D73" w:rsidRPr="00CF1F30">
        <w:rPr>
          <w:rFonts w:ascii="Times New Roman" w:hAnsi="Times New Roman" w:cs="Times New Roman"/>
          <w:sz w:val="28"/>
          <w:szCs w:val="28"/>
        </w:rPr>
        <w:t xml:space="preserve"> </w:t>
      </w:r>
      <w:r w:rsidR="006E2BCE" w:rsidRPr="00CF1F30">
        <w:rPr>
          <w:rFonts w:ascii="Times New Roman" w:hAnsi="Times New Roman" w:cs="Times New Roman"/>
          <w:sz w:val="28"/>
          <w:szCs w:val="28"/>
        </w:rPr>
        <w:t>близько</w:t>
      </w:r>
      <w:r w:rsidR="00F25D73" w:rsidRPr="00CF1F30">
        <w:rPr>
          <w:rFonts w:ascii="Times New Roman" w:hAnsi="Times New Roman" w:cs="Times New Roman"/>
          <w:sz w:val="28"/>
          <w:szCs w:val="28"/>
        </w:rPr>
        <w:t xml:space="preserve"> </w:t>
      </w:r>
      <w:r w:rsidR="006E2BCE" w:rsidRPr="00CF1F30">
        <w:rPr>
          <w:rFonts w:ascii="Times New Roman" w:hAnsi="Times New Roman" w:cs="Times New Roman"/>
          <w:sz w:val="28"/>
          <w:szCs w:val="28"/>
        </w:rPr>
        <w:t>5</w:t>
      </w:r>
      <w:r w:rsidR="00037227" w:rsidRPr="00CF1F30">
        <w:rPr>
          <w:rFonts w:ascii="Times New Roman" w:hAnsi="Times New Roman" w:cs="Times New Roman"/>
          <w:sz w:val="28"/>
          <w:szCs w:val="28"/>
        </w:rPr>
        <w:t>0</w:t>
      </w:r>
      <w:r w:rsidR="006E2BCE" w:rsidRPr="00CF1F30">
        <w:rPr>
          <w:rFonts w:ascii="Times New Roman" w:hAnsi="Times New Roman" w:cs="Times New Roman"/>
          <w:sz w:val="28"/>
          <w:szCs w:val="28"/>
        </w:rPr>
        <w:t xml:space="preserve"> </w:t>
      </w:r>
      <w:r w:rsidR="00F25D73" w:rsidRPr="00CF1F30">
        <w:rPr>
          <w:rFonts w:ascii="Times New Roman" w:hAnsi="Times New Roman" w:cs="Times New Roman"/>
          <w:sz w:val="28"/>
          <w:szCs w:val="28"/>
        </w:rPr>
        <w:t xml:space="preserve">млрд гривень в розрахунку </w:t>
      </w:r>
      <w:r w:rsidR="00F25D73" w:rsidRPr="00D03EED">
        <w:rPr>
          <w:rFonts w:ascii="Times New Roman" w:hAnsi="Times New Roman" w:cs="Times New Roman"/>
          <w:sz w:val="28"/>
          <w:szCs w:val="28"/>
        </w:rPr>
        <w:t>на рік.</w:t>
      </w:r>
    </w:p>
    <w:p w:rsidR="00731082" w:rsidRPr="00D03EED" w:rsidRDefault="00731082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</w:pPr>
    </w:p>
    <w:p w:rsidR="00EA1F9E" w:rsidRPr="00D03EED" w:rsidRDefault="00EA1F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6. Позиція заінтересованих сторін</w:t>
      </w:r>
    </w:p>
    <w:p w:rsidR="00AB0EC2" w:rsidRPr="00D03EED" w:rsidRDefault="00AB0EC2" w:rsidP="00AB0E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n230"/>
      <w:bookmarkStart w:id="9" w:name="n233"/>
      <w:bookmarkEnd w:id="8"/>
      <w:bookmarkEnd w:id="9"/>
      <w:r w:rsidRPr="00D03EED">
        <w:rPr>
          <w:rFonts w:ascii="Times New Roman" w:hAnsi="Times New Roman" w:cs="Times New Roman"/>
          <w:color w:val="000000" w:themeColor="text1"/>
          <w:sz w:val="28"/>
          <w:szCs w:val="28"/>
        </w:rPr>
        <w:t>Законопроект</w:t>
      </w:r>
      <w:r w:rsidRPr="00D03EED">
        <w:rPr>
          <w:rFonts w:ascii="Times New Roman" w:hAnsi="Times New Roman" w:cs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AB0EC2" w:rsidRPr="00D03EED" w:rsidRDefault="00AB0EC2" w:rsidP="00AB0E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Проект не стосується сфери наукової та науково-технічної діяльності.</w:t>
      </w:r>
    </w:p>
    <w:p w:rsidR="00193DF9" w:rsidRPr="003E4014" w:rsidRDefault="002617D5" w:rsidP="00F25D7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hAnsi="Times New Roman" w:cs="Times New Roman"/>
          <w:sz w:val="28"/>
          <w:szCs w:val="28"/>
        </w:rPr>
        <w:t>Законопроект погодже</w:t>
      </w:r>
      <w:r w:rsidR="00792D00" w:rsidRPr="00D03EED">
        <w:rPr>
          <w:rFonts w:ascii="Times New Roman" w:hAnsi="Times New Roman" w:cs="Times New Roman"/>
          <w:sz w:val="28"/>
          <w:szCs w:val="28"/>
        </w:rPr>
        <w:t>но</w:t>
      </w:r>
      <w:r w:rsidRPr="00D03EED">
        <w:rPr>
          <w:rFonts w:ascii="Times New Roman" w:hAnsi="Times New Roman" w:cs="Times New Roman"/>
          <w:sz w:val="28"/>
          <w:szCs w:val="28"/>
        </w:rPr>
        <w:t xml:space="preserve"> з Міністерством</w:t>
      </w:r>
      <w:r w:rsidR="00B7189C" w:rsidRPr="00D03EED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України, Міністерством аграрної політики та продовольства України</w:t>
      </w:r>
      <w:r w:rsidR="00C04872" w:rsidRPr="00D03EED">
        <w:rPr>
          <w:rFonts w:ascii="Times New Roman" w:hAnsi="Times New Roman" w:cs="Times New Roman"/>
          <w:sz w:val="28"/>
          <w:szCs w:val="28"/>
        </w:rPr>
        <w:t>, Міністерством захисту довкілля та природних ресурсів України</w:t>
      </w:r>
      <w:r w:rsidR="000D2C98" w:rsidRPr="00D03EED">
        <w:rPr>
          <w:rFonts w:ascii="Times New Roman" w:hAnsi="Times New Roman" w:cs="Times New Roman"/>
          <w:sz w:val="28"/>
          <w:szCs w:val="28"/>
        </w:rPr>
        <w:t>,</w:t>
      </w:r>
      <w:r w:rsidR="00B7189C" w:rsidRPr="00D03EED">
        <w:rPr>
          <w:rFonts w:ascii="Times New Roman" w:hAnsi="Times New Roman" w:cs="Times New Roman"/>
          <w:sz w:val="28"/>
          <w:szCs w:val="28"/>
        </w:rPr>
        <w:t xml:space="preserve"> </w:t>
      </w:r>
      <w:r w:rsidR="00F25D73" w:rsidRPr="00D03EED">
        <w:rPr>
          <w:rFonts w:ascii="Times New Roman" w:hAnsi="Times New Roman" w:cs="Times New Roman"/>
          <w:sz w:val="28"/>
          <w:szCs w:val="28"/>
        </w:rPr>
        <w:t xml:space="preserve">Міністерством енергетики України, </w:t>
      </w:r>
      <w:r w:rsidR="00193DF9" w:rsidRPr="00D03EED">
        <w:rPr>
          <w:rFonts w:ascii="Times New Roman" w:hAnsi="Times New Roman" w:cs="Times New Roman"/>
          <w:sz w:val="28"/>
          <w:szCs w:val="28"/>
        </w:rPr>
        <w:t xml:space="preserve">Міністерством цифрової трансформації України, </w:t>
      </w:r>
      <w:r w:rsidR="00785441" w:rsidRPr="00D03EED">
        <w:rPr>
          <w:rFonts w:ascii="Times New Roman" w:hAnsi="Times New Roman" w:cs="Times New Roman"/>
          <w:sz w:val="28"/>
          <w:szCs w:val="28"/>
        </w:rPr>
        <w:t xml:space="preserve">Національною комісією, що здійснює державне </w:t>
      </w:r>
      <w:r w:rsidR="00785441" w:rsidRPr="003E4014">
        <w:rPr>
          <w:rFonts w:ascii="Times New Roman" w:hAnsi="Times New Roman" w:cs="Times New Roman"/>
          <w:sz w:val="28"/>
          <w:szCs w:val="28"/>
        </w:rPr>
        <w:t>регулювання у сфері зв'язку та інформатизації</w:t>
      </w:r>
      <w:r w:rsidR="00193DF9" w:rsidRPr="003E4014">
        <w:rPr>
          <w:rFonts w:ascii="Times New Roman" w:hAnsi="Times New Roman" w:cs="Times New Roman"/>
          <w:sz w:val="28"/>
          <w:szCs w:val="28"/>
        </w:rPr>
        <w:t xml:space="preserve"> та Державною податковою службою України.</w:t>
      </w:r>
    </w:p>
    <w:p w:rsidR="00AB0EC2" w:rsidRPr="003E4014" w:rsidRDefault="00362660" w:rsidP="003626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014">
        <w:rPr>
          <w:rFonts w:ascii="Times New Roman" w:hAnsi="Times New Roman" w:cs="Times New Roman"/>
          <w:sz w:val="28"/>
          <w:szCs w:val="28"/>
        </w:rPr>
        <w:t xml:space="preserve">Висновок Міністерства юстиції України за результатами правової експертизи законопроекту від 12.05.2021. Загальна підсумкова оцінка: відповідний із зауваженнями щодо недотримання вимог </w:t>
      </w:r>
      <w:proofErr w:type="spellStart"/>
      <w:r w:rsidRPr="003E4014">
        <w:rPr>
          <w:rFonts w:ascii="Times New Roman" w:hAnsi="Times New Roman" w:cs="Times New Roman"/>
          <w:sz w:val="28"/>
          <w:szCs w:val="28"/>
        </w:rPr>
        <w:t>нормопроєктувальної</w:t>
      </w:r>
      <w:proofErr w:type="spellEnd"/>
      <w:r w:rsidRPr="003E4014">
        <w:rPr>
          <w:rFonts w:ascii="Times New Roman" w:hAnsi="Times New Roman" w:cs="Times New Roman"/>
          <w:sz w:val="28"/>
          <w:szCs w:val="28"/>
        </w:rPr>
        <w:t xml:space="preserve"> техніки.</w:t>
      </w:r>
    </w:p>
    <w:p w:rsidR="00193DF9" w:rsidRDefault="00193DF9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</w:pPr>
    </w:p>
    <w:p w:rsidR="00EA1F9E" w:rsidRPr="00D03EED" w:rsidRDefault="00EA1F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7. Оцінка відповідності</w:t>
      </w:r>
    </w:p>
    <w:p w:rsidR="000C344E" w:rsidRPr="00D03EED" w:rsidRDefault="000C344E" w:rsidP="000C34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10" w:name="n234"/>
      <w:bookmarkEnd w:id="10"/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 законопроекті відсутні положення, що стосуються зобов’язань України у сфері європейської інтеграції; стосуються прав та свобод, гарантованих Конвенцією про захист прав людини і основоположних свобод; впливають на забезпечення рівних прав та можливостей жінок і чоловіків; створюють підстави для дискримінації.</w:t>
      </w:r>
    </w:p>
    <w:p w:rsidR="00AB0EC2" w:rsidRPr="00D03EED" w:rsidRDefault="00AB0EC2" w:rsidP="00AB0E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Громадська антикорупційна, громадська </w:t>
      </w:r>
      <w:proofErr w:type="spellStart"/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антидискримінаційна</w:t>
      </w:r>
      <w:proofErr w:type="spellEnd"/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та громадська </w:t>
      </w:r>
      <w:proofErr w:type="spellStart"/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гендерно</w:t>
      </w:r>
      <w:proofErr w:type="spellEnd"/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-правова експертизи проекту </w:t>
      </w:r>
      <w:proofErr w:type="spellStart"/>
      <w:r w:rsidR="00731082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акта</w:t>
      </w:r>
      <w:proofErr w:type="spellEnd"/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не проводилися. </w:t>
      </w:r>
    </w:p>
    <w:p w:rsidR="000C344E" w:rsidRDefault="00792D00" w:rsidP="00AB0E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03EED"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  <w:proofErr w:type="spellStart"/>
      <w:r w:rsidRPr="00D03EE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03EED">
        <w:rPr>
          <w:rFonts w:ascii="Times New Roman" w:hAnsi="Times New Roman" w:cs="Times New Roman"/>
          <w:sz w:val="28"/>
          <w:szCs w:val="28"/>
        </w:rPr>
        <w:t xml:space="preserve"> було надіслано листами від 30.04.2021 №</w:t>
      </w:r>
      <w:r w:rsidR="00355D14">
        <w:rPr>
          <w:rFonts w:ascii="Times New Roman" w:hAnsi="Times New Roman" w:cs="Times New Roman"/>
          <w:sz w:val="28"/>
          <w:szCs w:val="28"/>
        </w:rPr>
        <w:t> </w:t>
      </w:r>
      <w:r w:rsidRPr="00D03EED">
        <w:rPr>
          <w:rFonts w:ascii="Times New Roman" w:hAnsi="Times New Roman" w:cs="Times New Roman"/>
          <w:sz w:val="28"/>
          <w:szCs w:val="28"/>
        </w:rPr>
        <w:t>11230-09-5/14131 та від 07.05.2021 №</w:t>
      </w:r>
      <w:r w:rsidR="00355D14">
        <w:rPr>
          <w:rFonts w:ascii="Times New Roman" w:hAnsi="Times New Roman" w:cs="Times New Roman"/>
          <w:sz w:val="28"/>
          <w:szCs w:val="28"/>
        </w:rPr>
        <w:t> </w:t>
      </w:r>
      <w:r w:rsidRPr="00D03EED">
        <w:rPr>
          <w:rFonts w:ascii="Times New Roman" w:hAnsi="Times New Roman" w:cs="Times New Roman"/>
          <w:sz w:val="28"/>
          <w:szCs w:val="28"/>
        </w:rPr>
        <w:t xml:space="preserve">11230-09-5/14623 до </w:t>
      </w:r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Національного агентства з питань запобігання корупції</w:t>
      </w:r>
      <w:r w:rsidRPr="00D03EED">
        <w:rPr>
          <w:rFonts w:ascii="Times New Roman" w:hAnsi="Times New Roman" w:cs="Times New Roman"/>
          <w:sz w:val="28"/>
          <w:szCs w:val="28"/>
        </w:rPr>
        <w:t xml:space="preserve"> для </w:t>
      </w:r>
      <w:r w:rsidR="00AB0EC2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визначення необхідності провед</w:t>
      </w:r>
      <w:r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ення антикорупційної експертизи</w:t>
      </w:r>
      <w:r w:rsidR="00220E1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(вхідний №</w:t>
      </w:r>
      <w:r w:rsidR="00355D1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 </w:t>
      </w:r>
      <w:r w:rsidR="00220E1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03/32810/21 від 05.05.2021 та №</w:t>
      </w:r>
      <w:r w:rsidR="00355D1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 </w:t>
      </w:r>
      <w:r w:rsidR="00220E1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03/35010/21 від 11.05.2021)</w:t>
      </w:r>
      <w:r w:rsidR="00AB0EC2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 w:rsidR="000C344E" w:rsidRPr="00D03E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A705B3" w:rsidRPr="00D03EED" w:rsidRDefault="00A705B3" w:rsidP="00AB0E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11" w:name="_GoBack"/>
      <w:bookmarkEnd w:id="11"/>
    </w:p>
    <w:p w:rsidR="00EA1F9E" w:rsidRPr="00D03EED" w:rsidRDefault="00EA1F9E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bookmarkStart w:id="12" w:name="n242"/>
      <w:bookmarkEnd w:id="12"/>
      <w:r w:rsidRPr="00D03EE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uk-UA"/>
        </w:rPr>
        <w:t>8. Прогноз результатів</w:t>
      </w:r>
    </w:p>
    <w:p w:rsidR="007B786B" w:rsidRPr="00D03EED" w:rsidRDefault="007B786B" w:rsidP="00873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243"/>
      <w:bookmarkStart w:id="14" w:name="n249"/>
      <w:bookmarkEnd w:id="13"/>
      <w:bookmarkEnd w:id="14"/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Законопроект забезпечить</w:t>
      </w:r>
      <w:r w:rsidR="002617D5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B786B" w:rsidRPr="00D03EED" w:rsidRDefault="007B786B" w:rsidP="00873A6E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приведення розмірів ставок податків у відповідність до інфляційних процесів в економіці;</w:t>
      </w:r>
    </w:p>
    <w:p w:rsidR="007B786B" w:rsidRPr="00D03EED" w:rsidRDefault="000F2872" w:rsidP="002B0AE0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sz w:val="28"/>
          <w:szCs w:val="28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</w:t>
      </w:r>
      <w:r w:rsidR="00BF758D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ефективн</w:t>
      </w:r>
      <w:r w:rsidR="00BF758D"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ості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справляння окремих податків та погашення податкового боргу.</w:t>
      </w:r>
    </w:p>
    <w:p w:rsidR="00E1463F" w:rsidRPr="00D03EED" w:rsidRDefault="00E1463F" w:rsidP="008070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708B" w:rsidRPr="00D03EED" w:rsidRDefault="0080708B" w:rsidP="008070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EED">
        <w:rPr>
          <w:rFonts w:ascii="Times New Roman" w:eastAsia="Calibri" w:hAnsi="Times New Roman" w:cs="Times New Roman"/>
          <w:sz w:val="28"/>
          <w:szCs w:val="28"/>
        </w:rPr>
        <w:t>Прийняття законопроекту матиме вплив на інтереси заінтересованих сторін:</w:t>
      </w:r>
    </w:p>
    <w:p w:rsidR="0080708B" w:rsidRPr="00D03EED" w:rsidRDefault="0080708B" w:rsidP="008070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9639" w:type="dxa"/>
        <w:tblInd w:w="-5" w:type="dxa"/>
        <w:tblLook w:val="04A0" w:firstRow="1" w:lastRow="0" w:firstColumn="1" w:lastColumn="0" w:noHBand="0" w:noVBand="1"/>
      </w:tblPr>
      <w:tblGrid>
        <w:gridCol w:w="3267"/>
        <w:gridCol w:w="2001"/>
        <w:gridCol w:w="4371"/>
      </w:tblGrid>
      <w:tr w:rsidR="0080708B" w:rsidRPr="00D03EED" w:rsidTr="00832357"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Заінтересована сторона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 xml:space="preserve">Вплив реалізації </w:t>
            </w:r>
            <w:proofErr w:type="spellStart"/>
            <w:r w:rsidRPr="00D03EED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  <w:r w:rsidRPr="00D03EED">
              <w:rPr>
                <w:rFonts w:ascii="Times New Roman" w:hAnsi="Times New Roman"/>
                <w:sz w:val="28"/>
                <w:szCs w:val="28"/>
              </w:rPr>
              <w:t xml:space="preserve"> на заінтересовану сторону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Пояснення очікуваного впливу</w:t>
            </w:r>
          </w:p>
        </w:tc>
      </w:tr>
      <w:tr w:rsidR="0080708B" w:rsidRPr="00D03EED" w:rsidTr="00832357"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Платники податків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 xml:space="preserve">Позитивний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286C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-</w:t>
            </w:r>
            <w:r w:rsidR="00286C7C" w:rsidRPr="00D03EED">
              <w:rPr>
                <w:rFonts w:ascii="Times New Roman" w:hAnsi="Times New Roman"/>
                <w:sz w:val="28"/>
                <w:szCs w:val="28"/>
              </w:rPr>
              <w:t xml:space="preserve"> встановлення рівних правил оподаткування;</w:t>
            </w:r>
          </w:p>
        </w:tc>
      </w:tr>
      <w:tr w:rsidR="0080708B" w:rsidRPr="00D03EED" w:rsidTr="00832357"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Контролюючі органи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B" w:rsidRPr="00D03EED" w:rsidRDefault="0080708B" w:rsidP="00832357">
            <w:pPr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 xml:space="preserve">Позитивний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B" w:rsidRPr="00D03EED" w:rsidRDefault="0080708B" w:rsidP="008323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-</w:t>
            </w:r>
            <w:r w:rsidR="00286C7C" w:rsidRPr="00D03EED">
              <w:rPr>
                <w:rFonts w:ascii="Times New Roman" w:hAnsi="Times New Roman"/>
                <w:sz w:val="28"/>
                <w:szCs w:val="28"/>
              </w:rPr>
              <w:t xml:space="preserve"> дотримання принципу економічності оподаткування</w:t>
            </w:r>
            <w:r w:rsidRPr="00D03EE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0708B" w:rsidRPr="00D03EED" w:rsidRDefault="0080708B" w:rsidP="008323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- покращення ефективності стягнення податкового боргу</w:t>
            </w:r>
          </w:p>
        </w:tc>
      </w:tr>
      <w:tr w:rsidR="0080708B" w:rsidRPr="00D03EED" w:rsidTr="00832357"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B" w:rsidRPr="00D03EED" w:rsidRDefault="00286C7C" w:rsidP="00832357">
            <w:pPr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Держава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B" w:rsidRPr="00D03EED" w:rsidRDefault="00286C7C" w:rsidP="00832357">
            <w:pPr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Позитивний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B" w:rsidRPr="00D03EED" w:rsidRDefault="00286C7C" w:rsidP="008323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EED">
              <w:rPr>
                <w:rFonts w:ascii="Times New Roman" w:hAnsi="Times New Roman"/>
                <w:sz w:val="28"/>
                <w:szCs w:val="28"/>
              </w:rPr>
              <w:t>- збільшення надходжень до бюджетів різних рівнів.</w:t>
            </w:r>
          </w:p>
        </w:tc>
      </w:tr>
    </w:tbl>
    <w:p w:rsidR="0080708B" w:rsidRPr="00D03EED" w:rsidRDefault="0080708B" w:rsidP="0080708B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650F84" w:rsidRPr="00D03EED" w:rsidRDefault="00650F84" w:rsidP="00873A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5" w:name="n229"/>
      <w:bookmarkEnd w:id="15"/>
    </w:p>
    <w:p w:rsidR="00650F84" w:rsidRPr="00D03EED" w:rsidRDefault="00650F84" w:rsidP="00873A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Міністр фінансів України</w:t>
      </w: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</w:t>
      </w:r>
      <w:r w:rsidR="000B3B54"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Сергій МАРЧЕНКО</w:t>
      </w:r>
    </w:p>
    <w:p w:rsidR="00650F84" w:rsidRPr="00D03EED" w:rsidRDefault="00650F84" w:rsidP="00873A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C71AF" w:rsidRPr="00873A6E" w:rsidRDefault="00650F84" w:rsidP="0087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EED">
        <w:rPr>
          <w:rFonts w:ascii="Times New Roman" w:eastAsia="Times New Roman" w:hAnsi="Times New Roman" w:cs="Times New Roman"/>
          <w:sz w:val="28"/>
          <w:szCs w:val="28"/>
          <w:lang w:eastAsia="ar-SA"/>
        </w:rPr>
        <w:t>«____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»</w:t>
      </w:r>
      <w:r w:rsidRPr="00D03E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224F1" w:rsidRPr="00D03E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3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</w:p>
    <w:sectPr w:rsidR="001C71AF" w:rsidRPr="00873A6E" w:rsidSect="00B26BF5">
      <w:headerReference w:type="default" r:id="rId8"/>
      <w:pgSz w:w="11906" w:h="16838" w:code="9"/>
      <w:pgMar w:top="851" w:right="85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985" w:rsidRDefault="00CF4985" w:rsidP="006D622F">
      <w:pPr>
        <w:spacing w:after="0" w:line="240" w:lineRule="auto"/>
      </w:pPr>
      <w:r>
        <w:separator/>
      </w:r>
    </w:p>
  </w:endnote>
  <w:endnote w:type="continuationSeparator" w:id="0">
    <w:p w:rsidR="00CF4985" w:rsidRDefault="00CF4985" w:rsidP="006D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985" w:rsidRDefault="00CF4985" w:rsidP="006D622F">
      <w:pPr>
        <w:spacing w:after="0" w:line="240" w:lineRule="auto"/>
      </w:pPr>
      <w:r>
        <w:separator/>
      </w:r>
    </w:p>
  </w:footnote>
  <w:footnote w:type="continuationSeparator" w:id="0">
    <w:p w:rsidR="00CF4985" w:rsidRDefault="00CF4985" w:rsidP="006D6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114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622F" w:rsidRPr="006D622F" w:rsidRDefault="006D622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62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62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62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05B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D62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622F" w:rsidRDefault="006D62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4EFD"/>
    <w:multiLevelType w:val="hybridMultilevel"/>
    <w:tmpl w:val="71067912"/>
    <w:lvl w:ilvl="0" w:tplc="ABC4E7DC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7116509"/>
    <w:multiLevelType w:val="multilevel"/>
    <w:tmpl w:val="948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2A2DCF"/>
    <w:multiLevelType w:val="hybridMultilevel"/>
    <w:tmpl w:val="C610C8E0"/>
    <w:lvl w:ilvl="0" w:tplc="600662E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13261E9"/>
    <w:multiLevelType w:val="multilevel"/>
    <w:tmpl w:val="CA60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D73B3E"/>
    <w:multiLevelType w:val="multilevel"/>
    <w:tmpl w:val="D74E4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C94FAE"/>
    <w:multiLevelType w:val="hybridMultilevel"/>
    <w:tmpl w:val="5AA834C0"/>
    <w:lvl w:ilvl="0" w:tplc="4EE2AAC2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86C15BF"/>
    <w:multiLevelType w:val="hybridMultilevel"/>
    <w:tmpl w:val="EB6E7452"/>
    <w:lvl w:ilvl="0" w:tplc="AE50D466">
      <w:start w:val="4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66"/>
    <w:rsid w:val="00011D18"/>
    <w:rsid w:val="00037227"/>
    <w:rsid w:val="00045BE1"/>
    <w:rsid w:val="00062509"/>
    <w:rsid w:val="00065C6A"/>
    <w:rsid w:val="00067F09"/>
    <w:rsid w:val="000720DC"/>
    <w:rsid w:val="00074A4C"/>
    <w:rsid w:val="000A759B"/>
    <w:rsid w:val="000B3B54"/>
    <w:rsid w:val="000C12FE"/>
    <w:rsid w:val="000C344E"/>
    <w:rsid w:val="000D2C98"/>
    <w:rsid w:val="000D4365"/>
    <w:rsid w:val="000F2872"/>
    <w:rsid w:val="000F4F96"/>
    <w:rsid w:val="0010792F"/>
    <w:rsid w:val="00111877"/>
    <w:rsid w:val="00115532"/>
    <w:rsid w:val="001404E2"/>
    <w:rsid w:val="0014291B"/>
    <w:rsid w:val="001478ED"/>
    <w:rsid w:val="00157202"/>
    <w:rsid w:val="001675FA"/>
    <w:rsid w:val="001730B0"/>
    <w:rsid w:val="00173FEE"/>
    <w:rsid w:val="00180A6E"/>
    <w:rsid w:val="00180C81"/>
    <w:rsid w:val="00184B70"/>
    <w:rsid w:val="00190747"/>
    <w:rsid w:val="001907C0"/>
    <w:rsid w:val="00193DF9"/>
    <w:rsid w:val="00194578"/>
    <w:rsid w:val="001A795E"/>
    <w:rsid w:val="001B6092"/>
    <w:rsid w:val="001F5D53"/>
    <w:rsid w:val="002106FD"/>
    <w:rsid w:val="00220E1A"/>
    <w:rsid w:val="00233C06"/>
    <w:rsid w:val="00235DEA"/>
    <w:rsid w:val="00247153"/>
    <w:rsid w:val="00252CE3"/>
    <w:rsid w:val="002601E2"/>
    <w:rsid w:val="0026159D"/>
    <w:rsid w:val="002617D5"/>
    <w:rsid w:val="002669FF"/>
    <w:rsid w:val="00270B88"/>
    <w:rsid w:val="00272417"/>
    <w:rsid w:val="002824AB"/>
    <w:rsid w:val="00286C7C"/>
    <w:rsid w:val="002941D5"/>
    <w:rsid w:val="002B4023"/>
    <w:rsid w:val="002B6CFF"/>
    <w:rsid w:val="002B6DAA"/>
    <w:rsid w:val="002D29B4"/>
    <w:rsid w:val="002D7F3B"/>
    <w:rsid w:val="003100D1"/>
    <w:rsid w:val="00325250"/>
    <w:rsid w:val="00341B2C"/>
    <w:rsid w:val="00355D14"/>
    <w:rsid w:val="00360AA5"/>
    <w:rsid w:val="00362660"/>
    <w:rsid w:val="003803F4"/>
    <w:rsid w:val="003A1516"/>
    <w:rsid w:val="003A386C"/>
    <w:rsid w:val="003A66FA"/>
    <w:rsid w:val="003E2C19"/>
    <w:rsid w:val="003E4014"/>
    <w:rsid w:val="003E649E"/>
    <w:rsid w:val="004071E0"/>
    <w:rsid w:val="004100B1"/>
    <w:rsid w:val="00412934"/>
    <w:rsid w:val="0045113C"/>
    <w:rsid w:val="004627B5"/>
    <w:rsid w:val="00465E8A"/>
    <w:rsid w:val="004750DA"/>
    <w:rsid w:val="0048572E"/>
    <w:rsid w:val="00491A85"/>
    <w:rsid w:val="00495CB4"/>
    <w:rsid w:val="00496D66"/>
    <w:rsid w:val="004B3DE8"/>
    <w:rsid w:val="004C26D9"/>
    <w:rsid w:val="004D32F3"/>
    <w:rsid w:val="00502FBA"/>
    <w:rsid w:val="005279F5"/>
    <w:rsid w:val="005330B9"/>
    <w:rsid w:val="00540B66"/>
    <w:rsid w:val="005535BA"/>
    <w:rsid w:val="00555864"/>
    <w:rsid w:val="00564100"/>
    <w:rsid w:val="0056747F"/>
    <w:rsid w:val="00571B6B"/>
    <w:rsid w:val="00587037"/>
    <w:rsid w:val="005922E0"/>
    <w:rsid w:val="005A18AA"/>
    <w:rsid w:val="005B7402"/>
    <w:rsid w:val="005C4722"/>
    <w:rsid w:val="005F1A36"/>
    <w:rsid w:val="00611839"/>
    <w:rsid w:val="006212FB"/>
    <w:rsid w:val="0062536A"/>
    <w:rsid w:val="0062648F"/>
    <w:rsid w:val="00630FE1"/>
    <w:rsid w:val="006353D8"/>
    <w:rsid w:val="00640747"/>
    <w:rsid w:val="006438DE"/>
    <w:rsid w:val="00650A0B"/>
    <w:rsid w:val="00650F84"/>
    <w:rsid w:val="00652DF5"/>
    <w:rsid w:val="0066200B"/>
    <w:rsid w:val="00670046"/>
    <w:rsid w:val="006A068F"/>
    <w:rsid w:val="006A6E8B"/>
    <w:rsid w:val="006B65F8"/>
    <w:rsid w:val="006B6656"/>
    <w:rsid w:val="006C0C37"/>
    <w:rsid w:val="006C1DBF"/>
    <w:rsid w:val="006C2CFC"/>
    <w:rsid w:val="006D622F"/>
    <w:rsid w:val="006E2BCE"/>
    <w:rsid w:val="007105DF"/>
    <w:rsid w:val="00731082"/>
    <w:rsid w:val="0074149C"/>
    <w:rsid w:val="007447E9"/>
    <w:rsid w:val="0074551D"/>
    <w:rsid w:val="0075418F"/>
    <w:rsid w:val="00771671"/>
    <w:rsid w:val="007846B8"/>
    <w:rsid w:val="00785441"/>
    <w:rsid w:val="00792D00"/>
    <w:rsid w:val="007933E7"/>
    <w:rsid w:val="00795CBC"/>
    <w:rsid w:val="007A18CD"/>
    <w:rsid w:val="007B0ED4"/>
    <w:rsid w:val="007B42CF"/>
    <w:rsid w:val="007B786B"/>
    <w:rsid w:val="007C4562"/>
    <w:rsid w:val="007C74BC"/>
    <w:rsid w:val="0080708B"/>
    <w:rsid w:val="008204F1"/>
    <w:rsid w:val="008224F1"/>
    <w:rsid w:val="008249E3"/>
    <w:rsid w:val="0084119A"/>
    <w:rsid w:val="008551E6"/>
    <w:rsid w:val="00857560"/>
    <w:rsid w:val="00861DBD"/>
    <w:rsid w:val="00861FDF"/>
    <w:rsid w:val="00867FD5"/>
    <w:rsid w:val="00873A6E"/>
    <w:rsid w:val="008747A8"/>
    <w:rsid w:val="008A1C23"/>
    <w:rsid w:val="008B3E4E"/>
    <w:rsid w:val="008B7133"/>
    <w:rsid w:val="008C66C3"/>
    <w:rsid w:val="008E4AAB"/>
    <w:rsid w:val="008E617E"/>
    <w:rsid w:val="008E71A7"/>
    <w:rsid w:val="008E71D6"/>
    <w:rsid w:val="008F3051"/>
    <w:rsid w:val="009231AD"/>
    <w:rsid w:val="00952559"/>
    <w:rsid w:val="009748E8"/>
    <w:rsid w:val="009A0E00"/>
    <w:rsid w:val="009A47FC"/>
    <w:rsid w:val="009C52E4"/>
    <w:rsid w:val="009D1A40"/>
    <w:rsid w:val="009D36C3"/>
    <w:rsid w:val="009E0208"/>
    <w:rsid w:val="009F78B6"/>
    <w:rsid w:val="00A13BA5"/>
    <w:rsid w:val="00A30676"/>
    <w:rsid w:val="00A34FC5"/>
    <w:rsid w:val="00A418B2"/>
    <w:rsid w:val="00A4506D"/>
    <w:rsid w:val="00A51735"/>
    <w:rsid w:val="00A664CB"/>
    <w:rsid w:val="00A705B3"/>
    <w:rsid w:val="00A745E7"/>
    <w:rsid w:val="00A86577"/>
    <w:rsid w:val="00A86CF1"/>
    <w:rsid w:val="00AB0EC2"/>
    <w:rsid w:val="00AC20E3"/>
    <w:rsid w:val="00AC5685"/>
    <w:rsid w:val="00AD6F05"/>
    <w:rsid w:val="00AE0ED6"/>
    <w:rsid w:val="00AF3A1A"/>
    <w:rsid w:val="00AF3CF2"/>
    <w:rsid w:val="00B06CFB"/>
    <w:rsid w:val="00B1636F"/>
    <w:rsid w:val="00B26BF5"/>
    <w:rsid w:val="00B36F2F"/>
    <w:rsid w:val="00B7189C"/>
    <w:rsid w:val="00B761FB"/>
    <w:rsid w:val="00B81C11"/>
    <w:rsid w:val="00B8620C"/>
    <w:rsid w:val="00B940EB"/>
    <w:rsid w:val="00BA26DB"/>
    <w:rsid w:val="00BA42E3"/>
    <w:rsid w:val="00BC69BB"/>
    <w:rsid w:val="00BC7284"/>
    <w:rsid w:val="00BD4BA1"/>
    <w:rsid w:val="00BF1658"/>
    <w:rsid w:val="00BF758D"/>
    <w:rsid w:val="00C0136A"/>
    <w:rsid w:val="00C04872"/>
    <w:rsid w:val="00C15716"/>
    <w:rsid w:val="00C36BEF"/>
    <w:rsid w:val="00C5112B"/>
    <w:rsid w:val="00C547E1"/>
    <w:rsid w:val="00C55B1A"/>
    <w:rsid w:val="00C66EDF"/>
    <w:rsid w:val="00C8492A"/>
    <w:rsid w:val="00C9534D"/>
    <w:rsid w:val="00CC169A"/>
    <w:rsid w:val="00CD03A9"/>
    <w:rsid w:val="00CF1F30"/>
    <w:rsid w:val="00CF4985"/>
    <w:rsid w:val="00D03EED"/>
    <w:rsid w:val="00D17810"/>
    <w:rsid w:val="00D23333"/>
    <w:rsid w:val="00D41F54"/>
    <w:rsid w:val="00D425B9"/>
    <w:rsid w:val="00D566B4"/>
    <w:rsid w:val="00D71B27"/>
    <w:rsid w:val="00DA1F36"/>
    <w:rsid w:val="00DA2366"/>
    <w:rsid w:val="00DB451A"/>
    <w:rsid w:val="00DC009C"/>
    <w:rsid w:val="00DD3A13"/>
    <w:rsid w:val="00DE5F97"/>
    <w:rsid w:val="00DF31C8"/>
    <w:rsid w:val="00DF3E64"/>
    <w:rsid w:val="00DF65C1"/>
    <w:rsid w:val="00E061E6"/>
    <w:rsid w:val="00E1463F"/>
    <w:rsid w:val="00E3117A"/>
    <w:rsid w:val="00E316D1"/>
    <w:rsid w:val="00E45C8C"/>
    <w:rsid w:val="00E60798"/>
    <w:rsid w:val="00E75DB4"/>
    <w:rsid w:val="00E824C6"/>
    <w:rsid w:val="00E856F8"/>
    <w:rsid w:val="00E93247"/>
    <w:rsid w:val="00EA0D95"/>
    <w:rsid w:val="00EA1F9E"/>
    <w:rsid w:val="00EA3507"/>
    <w:rsid w:val="00EA4655"/>
    <w:rsid w:val="00EB788D"/>
    <w:rsid w:val="00EC2365"/>
    <w:rsid w:val="00EE37B2"/>
    <w:rsid w:val="00F02C1C"/>
    <w:rsid w:val="00F02DEB"/>
    <w:rsid w:val="00F039A8"/>
    <w:rsid w:val="00F10565"/>
    <w:rsid w:val="00F1339E"/>
    <w:rsid w:val="00F20EC9"/>
    <w:rsid w:val="00F22D58"/>
    <w:rsid w:val="00F25D73"/>
    <w:rsid w:val="00F4202C"/>
    <w:rsid w:val="00F42489"/>
    <w:rsid w:val="00F640E2"/>
    <w:rsid w:val="00F77558"/>
    <w:rsid w:val="00F776C5"/>
    <w:rsid w:val="00F85909"/>
    <w:rsid w:val="00F8667B"/>
    <w:rsid w:val="00FC5ED8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83A1"/>
  <w15:chartTrackingRefBased/>
  <w15:docId w15:val="{1DE4F3DB-D75A-407C-8F66-E722BBCE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5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F1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1339E"/>
  </w:style>
  <w:style w:type="character" w:customStyle="1" w:styleId="rvts82">
    <w:name w:val="rvts82"/>
    <w:basedOn w:val="a0"/>
    <w:rsid w:val="00F1339E"/>
  </w:style>
  <w:style w:type="paragraph" w:customStyle="1" w:styleId="rvps2">
    <w:name w:val="rvps2"/>
    <w:basedOn w:val="a"/>
    <w:rsid w:val="00F1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1339E"/>
  </w:style>
  <w:style w:type="character" w:styleId="a3">
    <w:name w:val="Hyperlink"/>
    <w:basedOn w:val="a0"/>
    <w:uiPriority w:val="99"/>
    <w:semiHidden/>
    <w:unhideWhenUsed/>
    <w:rsid w:val="00F1339E"/>
    <w:rPr>
      <w:color w:val="0000FF"/>
      <w:u w:val="single"/>
    </w:rPr>
  </w:style>
  <w:style w:type="character" w:customStyle="1" w:styleId="rvts13">
    <w:name w:val="rvts13"/>
    <w:basedOn w:val="a0"/>
    <w:rsid w:val="00F1339E"/>
  </w:style>
  <w:style w:type="paragraph" w:customStyle="1" w:styleId="rvps1">
    <w:name w:val="rvps1"/>
    <w:basedOn w:val="a"/>
    <w:rsid w:val="00F1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1339E"/>
  </w:style>
  <w:style w:type="paragraph" w:customStyle="1" w:styleId="rvps8">
    <w:name w:val="rvps8"/>
    <w:basedOn w:val="a"/>
    <w:rsid w:val="00F1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6D62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D622F"/>
  </w:style>
  <w:style w:type="paragraph" w:styleId="a6">
    <w:name w:val="footer"/>
    <w:basedOn w:val="a"/>
    <w:link w:val="a7"/>
    <w:uiPriority w:val="99"/>
    <w:unhideWhenUsed/>
    <w:rsid w:val="006D62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D622F"/>
  </w:style>
  <w:style w:type="paragraph" w:styleId="a8">
    <w:name w:val="List Paragraph"/>
    <w:basedOn w:val="a"/>
    <w:qFormat/>
    <w:rsid w:val="0015720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4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45C8C"/>
    <w:rPr>
      <w:rFonts w:ascii="Segoe UI" w:hAnsi="Segoe UI" w:cs="Segoe UI"/>
      <w:sz w:val="18"/>
      <w:szCs w:val="18"/>
    </w:rPr>
  </w:style>
  <w:style w:type="paragraph" w:styleId="ab">
    <w:name w:val="Normal (Web)"/>
    <w:aliases w:val="Обычный (Web),Обычный (веб) Знак Знак,Знак1 Знак Знак,Знак1 Знак1,Знак1 Знак Знак1,Обычный (веб) Знак Знак2,Знак1 Знак2,Обычный (веб) Знак,Знак1 Знак,Знак1,Знак,Обычный (веб) Знак Знак2 Знак Знак Знак,Обычный (веб) Знак Знак2 Знак Знак,З"/>
    <w:basedOn w:val="a"/>
    <w:link w:val="ac"/>
    <w:uiPriority w:val="99"/>
    <w:unhideWhenUsed/>
    <w:qFormat/>
    <w:rsid w:val="009E02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ac">
    <w:name w:val="Звичайний (веб) Знак"/>
    <w:aliases w:val="Обычный (Web) Знак,Обычный (веб) Знак Знак Знак,Знак1 Знак Знак Знак,Знак1 Знак1 Знак,Знак1 Знак Знак1 Знак,Обычный (веб) Знак Знак2 Знак,Знак1 Знак2 Знак,Обычный (веб) Знак Знак1,Знак1 Знак Знак2,Знак1 Знак3,Знак Знак,З Знак"/>
    <w:link w:val="ab"/>
    <w:locked/>
    <w:rsid w:val="009E0208"/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d">
    <w:name w:val="Strong"/>
    <w:uiPriority w:val="22"/>
    <w:qFormat/>
    <w:rsid w:val="004071E0"/>
    <w:rPr>
      <w:b/>
      <w:bCs/>
    </w:rPr>
  </w:style>
  <w:style w:type="table" w:styleId="ae">
    <w:name w:val="Table Grid"/>
    <w:basedOn w:val="a1"/>
    <w:uiPriority w:val="39"/>
    <w:rsid w:val="0018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184B70"/>
    <w:rPr>
      <w:i/>
      <w:iCs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rsid w:val="00180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180A6E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25D7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A418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195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82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4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E57E-0039-431B-942C-58BEB0BED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9960</Words>
  <Characters>5678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15607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Криворучко Ольга Олександрівна</dc:creator>
  <cp:keywords/>
  <dc:description/>
  <cp:lastModifiedBy>Овчаренко Віктор Петрович</cp:lastModifiedBy>
  <cp:revision>17</cp:revision>
  <cp:lastPrinted>2021-03-03T14:31:00Z</cp:lastPrinted>
  <dcterms:created xsi:type="dcterms:W3CDTF">2021-05-11T13:56:00Z</dcterms:created>
  <dcterms:modified xsi:type="dcterms:W3CDTF">2021-05-31T09:22:00Z</dcterms:modified>
</cp:coreProperties>
</file>