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C65" w:rsidRPr="006F6812" w:rsidRDefault="006F6812">
      <w:pPr>
        <w:spacing w:after="15" w:line="270" w:lineRule="auto"/>
        <w:ind w:left="857" w:right="0" w:hanging="10"/>
        <w:jc w:val="center"/>
        <w:rPr>
          <w:lang w:val="ru-RU"/>
        </w:rPr>
      </w:pPr>
      <w:bookmarkStart w:id="0" w:name="_GoBack"/>
      <w:bookmarkEnd w:id="0"/>
      <w:r w:rsidRPr="006F6812">
        <w:rPr>
          <w:b/>
          <w:lang w:val="ru-RU"/>
        </w:rPr>
        <w:t xml:space="preserve">ПОЯСНЮВАЛЬНА ЗАПИСКА </w:t>
      </w:r>
    </w:p>
    <w:p w:rsidR="004E0C65" w:rsidRPr="006F6812" w:rsidRDefault="006F6812">
      <w:pPr>
        <w:pStyle w:val="1"/>
        <w:numPr>
          <w:ilvl w:val="0"/>
          <w:numId w:val="0"/>
        </w:numPr>
        <w:ind w:left="847" w:right="58"/>
        <w:rPr>
          <w:lang w:val="ru-RU"/>
        </w:rPr>
      </w:pPr>
      <w:r w:rsidRPr="006F6812">
        <w:rPr>
          <w:lang w:val="ru-RU"/>
        </w:rPr>
        <w:t xml:space="preserve">до проекту Закону України «Про внесення змін до Кодексу законів  </w:t>
      </w:r>
    </w:p>
    <w:p w:rsidR="004E0C65" w:rsidRPr="006F6812" w:rsidRDefault="006F6812">
      <w:pPr>
        <w:spacing w:after="15" w:line="270" w:lineRule="auto"/>
        <w:ind w:left="857" w:right="752" w:hanging="10"/>
        <w:jc w:val="center"/>
        <w:rPr>
          <w:lang w:val="ru-RU"/>
        </w:rPr>
      </w:pPr>
      <w:r w:rsidRPr="006F6812">
        <w:rPr>
          <w:b/>
          <w:lang w:val="ru-RU"/>
        </w:rPr>
        <w:t xml:space="preserve">про працю України щодо удосконалення процедури вирішення індивідуальних трудових спорів» </w:t>
      </w:r>
    </w:p>
    <w:p w:rsidR="004E0C65" w:rsidRPr="006F6812" w:rsidRDefault="006F6812">
      <w:pPr>
        <w:spacing w:after="53" w:line="259" w:lineRule="auto"/>
        <w:ind w:left="338" w:right="0" w:firstLine="0"/>
        <w:jc w:val="center"/>
        <w:rPr>
          <w:lang w:val="ru-RU"/>
        </w:rPr>
      </w:pPr>
      <w:r w:rsidRPr="006F6812">
        <w:rPr>
          <w:b/>
          <w:sz w:val="24"/>
          <w:lang w:val="ru-RU"/>
        </w:rPr>
        <w:t xml:space="preserve"> </w:t>
      </w:r>
    </w:p>
    <w:p w:rsidR="004E0C65" w:rsidRDefault="006F6812">
      <w:pPr>
        <w:pStyle w:val="1"/>
        <w:ind w:left="1118" w:right="58" w:hanging="281"/>
      </w:pPr>
      <w:r>
        <w:t>Мета</w:t>
      </w:r>
      <w:r>
        <w:rPr>
          <w:b w:val="0"/>
        </w:rPr>
        <w:t xml:space="preserve">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Законопроектом передбачається в цілому перегляд глави </w:t>
      </w:r>
      <w:r>
        <w:t>XV</w:t>
      </w:r>
      <w:r w:rsidRPr="006F6812">
        <w:rPr>
          <w:lang w:val="ru-RU"/>
        </w:rPr>
        <w:t xml:space="preserve"> «Індивідуальні трудові спори» Кодексу законів про працю України з метою її осучаснення, а також запровадження нового способу вирішення індивідуальних трудових спорів, шляхом залучення медіаторів. </w:t>
      </w:r>
    </w:p>
    <w:p w:rsidR="004E0C65" w:rsidRPr="006F6812" w:rsidRDefault="006F6812">
      <w:pPr>
        <w:spacing w:after="71" w:line="259" w:lineRule="auto"/>
        <w:ind w:left="852" w:right="0" w:firstLine="0"/>
        <w:jc w:val="left"/>
        <w:rPr>
          <w:lang w:val="ru-RU"/>
        </w:rPr>
      </w:pPr>
      <w:r w:rsidRPr="006F6812">
        <w:rPr>
          <w:sz w:val="24"/>
          <w:lang w:val="ru-RU"/>
        </w:rPr>
        <w:t xml:space="preserve"> </w:t>
      </w:r>
    </w:p>
    <w:p w:rsidR="004E0C65" w:rsidRDefault="006F6812">
      <w:pPr>
        <w:pStyle w:val="1"/>
        <w:ind w:left="1118" w:right="58" w:hanging="281"/>
      </w:pPr>
      <w:r>
        <w:t>Обґрунтування необхідності прийняття акта</w:t>
      </w:r>
      <w:r>
        <w:rPr>
          <w:b w:val="0"/>
        </w:rPr>
        <w:t xml:space="preserve"> </w:t>
      </w:r>
    </w:p>
    <w:p w:rsidR="004E0C65" w:rsidRDefault="006F6812">
      <w:pPr>
        <w:ind w:left="271" w:right="0"/>
      </w:pPr>
      <w:r>
        <w:t xml:space="preserve">Пунктом 106 Державної програми стимулювання економіки для подолання негативних наслідків, спричинених обмежувальними заходами щодо запобігання виникненню і поширенню гострої респіраторної хвороби COVID19, спричиненої коронавірусом SARS-CoV-2, на 2020-2022 роки, затвердженої постановою Кабінету Міністрів України від 27 травня 2020 р. № 534, передбачено удосконалення трудового законодавства, зокрема, щодо альтернативних способів вирішення індивідуальних трудових спорів шляхом залучення медіаторів.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На сьогодні в Україні питання вирішення спорів між учасниками трудових відносин регламентовано нормами Кодексу законів про працю України  (далі – КЗпП) і включає два можливі варіанти: вирішення трудового спору за участі комісії по трудових спорах; вирішення трудового спору у судовому порядку.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Законопроектом пропонується норма, відповідно до якої, з метою врегулювання трудового спору за згодою між його сторонами може бути проведена у визначеному законом порядку медіація, при збереженні існуючих варіантів вирішення індивідуальних трудових спорів, а саме за участі комісії по трудових спорах та вирішення трудового спору у судовому порядку. </w:t>
      </w:r>
    </w:p>
    <w:p w:rsidR="004E0C65" w:rsidRPr="006F6812" w:rsidRDefault="006F6812">
      <w:pPr>
        <w:ind w:left="852" w:right="0" w:firstLine="0"/>
        <w:rPr>
          <w:lang w:val="ru-RU"/>
        </w:rPr>
      </w:pPr>
      <w:r w:rsidRPr="006F6812">
        <w:rPr>
          <w:lang w:val="ru-RU"/>
        </w:rPr>
        <w:t xml:space="preserve">Також законопроектом серед іншого пропонується: </w:t>
      </w:r>
    </w:p>
    <w:p w:rsidR="004E0C65" w:rsidRPr="006F6812" w:rsidRDefault="006F6812">
      <w:pPr>
        <w:numPr>
          <w:ilvl w:val="0"/>
          <w:numId w:val="1"/>
        </w:numPr>
        <w:ind w:right="0"/>
        <w:rPr>
          <w:lang w:val="ru-RU"/>
        </w:rPr>
      </w:pPr>
      <w:r w:rsidRPr="006F6812">
        <w:rPr>
          <w:lang w:val="ru-RU"/>
        </w:rPr>
        <w:t xml:space="preserve">визначити на законодавчому рівні предмет та сторони індивідуального трудового спору; </w:t>
      </w:r>
    </w:p>
    <w:p w:rsidR="004E0C65" w:rsidRPr="006F6812" w:rsidRDefault="006F6812">
      <w:pPr>
        <w:numPr>
          <w:ilvl w:val="0"/>
          <w:numId w:val="1"/>
        </w:numPr>
        <w:ind w:right="0"/>
        <w:rPr>
          <w:lang w:val="ru-RU"/>
        </w:rPr>
      </w:pPr>
      <w:r w:rsidRPr="006F6812">
        <w:rPr>
          <w:lang w:val="ru-RU"/>
        </w:rPr>
        <w:t xml:space="preserve">обмежити строк звернення працівника до суду про стягнення заробітної плати, гарантійних та компенсаційних виплат протягом року з дня, коли він дізнався або повинен був дізнатися про таке порушення. На сьогодні цей строк не обмежений, що створює передумови для зловживання своїм правом недобросовісним позивачам. Поширеними є випадки, коли особа зловживаючи своїм правом на звернення до суду через відсутність встановленого строку на таке звернення, навмисно чекає тривалий період часу для того, щоб стягнути з роботодавця велику суму середнього заробітку за час затримки розрахунку. Слід звернути увагу, що в інших категоріях трудових спорів чітко визначений строк позовної давності; </w:t>
      </w:r>
    </w:p>
    <w:p w:rsidR="004E0C65" w:rsidRDefault="006F6812">
      <w:pPr>
        <w:numPr>
          <w:ilvl w:val="0"/>
          <w:numId w:val="1"/>
        </w:numPr>
        <w:ind w:right="0"/>
      </w:pPr>
      <w:r w:rsidRPr="006F6812">
        <w:rPr>
          <w:lang w:val="ru-RU"/>
        </w:rPr>
        <w:lastRenderedPageBreak/>
        <w:t xml:space="preserve">встановити більш короткий строк, а саме три місяці, для звернення роботодавця до суду в питаннях стягнення з працівника матеріальної шкоди, заподіяної підприємству. </w:t>
      </w:r>
      <w:r>
        <w:t xml:space="preserve">На сьогодні цей строк становить один рік. </w:t>
      </w:r>
    </w:p>
    <w:p w:rsidR="004E0C65" w:rsidRDefault="006F6812" w:rsidP="006F6812">
      <w:pPr>
        <w:tabs>
          <w:tab w:val="center" w:pos="2559"/>
          <w:tab w:val="center" w:pos="8647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sz w:val="2"/>
        </w:rPr>
        <w:t xml:space="preserve"> </w:t>
      </w:r>
    </w:p>
    <w:p w:rsidR="004E0C65" w:rsidRDefault="006F6812">
      <w:pPr>
        <w:spacing w:after="0" w:line="259" w:lineRule="auto"/>
        <w:ind w:left="289" w:right="0" w:hanging="10"/>
        <w:jc w:val="center"/>
      </w:pPr>
      <w:r>
        <w:rPr>
          <w:rFonts w:ascii="Calibri" w:eastAsia="Calibri" w:hAnsi="Calibri" w:cs="Calibri"/>
          <w:sz w:val="22"/>
        </w:rPr>
        <w:t xml:space="preserve">2 </w:t>
      </w:r>
    </w:p>
    <w:p w:rsidR="004E0C65" w:rsidRDefault="006F6812">
      <w:pPr>
        <w:spacing w:after="86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E0C65" w:rsidRDefault="006F6812">
      <w:pPr>
        <w:pStyle w:val="1"/>
        <w:ind w:left="1118" w:right="58" w:hanging="281"/>
      </w:pPr>
      <w:r>
        <w:t>Основні положення проекту акта</w:t>
      </w:r>
      <w:r>
        <w:rPr>
          <w:b w:val="0"/>
        </w:rPr>
        <w:t xml:space="preserve">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Проектом акта пропонується: закріпити на законодавчому рівні можливість проведення процедури медіації у сфері трудових відносин; визначити на законодавчому рівні предмет та сторони індивідуального трудового спору; перегляд глави </w:t>
      </w:r>
      <w:r>
        <w:t>XV</w:t>
      </w:r>
      <w:r w:rsidRPr="006F6812">
        <w:rPr>
          <w:lang w:val="ru-RU"/>
        </w:rPr>
        <w:t xml:space="preserve"> «Індивідуальні трудові спори» КЗпП з метою її осучаснення. </w:t>
      </w:r>
    </w:p>
    <w:p w:rsidR="004E0C65" w:rsidRPr="006F6812" w:rsidRDefault="006F6812">
      <w:pPr>
        <w:spacing w:after="66" w:line="259" w:lineRule="auto"/>
        <w:ind w:left="852" w:right="0" w:firstLine="0"/>
        <w:jc w:val="left"/>
        <w:rPr>
          <w:lang w:val="ru-RU"/>
        </w:rPr>
      </w:pPr>
      <w:r w:rsidRPr="006F6812">
        <w:rPr>
          <w:sz w:val="24"/>
          <w:lang w:val="ru-RU"/>
        </w:rPr>
        <w:t xml:space="preserve"> </w:t>
      </w:r>
    </w:p>
    <w:p w:rsidR="004E0C65" w:rsidRDefault="006F6812">
      <w:pPr>
        <w:pStyle w:val="1"/>
        <w:ind w:left="1118" w:right="58" w:hanging="281"/>
      </w:pPr>
      <w:r>
        <w:t>Правові аспекти</w:t>
      </w:r>
      <w:r>
        <w:rPr>
          <w:b w:val="0"/>
        </w:rPr>
        <w:t xml:space="preserve">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Пунктом 106 постанови Кабінету Міністрів України від 27 травня 2020 р.  № 534 «Про затвердження Державної програми стимулювання економіки  для подолання негативних наслідків, спричинених обмежувальними заходами щодо запобігання виникненню і поширенню гострої респіраторної хвороби </w:t>
      </w:r>
      <w:r>
        <w:t>COVID</w:t>
      </w:r>
      <w:r w:rsidRPr="006F6812">
        <w:rPr>
          <w:lang w:val="ru-RU"/>
        </w:rPr>
        <w:t xml:space="preserve">-19, спричиненої коронавірусом </w:t>
      </w:r>
      <w:r>
        <w:t>SARS</w:t>
      </w:r>
      <w:r w:rsidRPr="006F6812">
        <w:rPr>
          <w:lang w:val="ru-RU"/>
        </w:rPr>
        <w:t>-</w:t>
      </w:r>
      <w:r>
        <w:t>CoV</w:t>
      </w:r>
      <w:r w:rsidRPr="006F6812">
        <w:rPr>
          <w:lang w:val="ru-RU"/>
        </w:rPr>
        <w:t xml:space="preserve">-2, на 2020-2022 роки» передбачено удосконалення трудового законодавства, зокрема, щодо альтернативних способів вирішення індивідуальних трудових спорів шляхом залучення медіаторів.  </w:t>
      </w:r>
    </w:p>
    <w:p w:rsidR="004E0C65" w:rsidRPr="006F6812" w:rsidRDefault="006F6812">
      <w:pPr>
        <w:spacing w:after="69" w:line="259" w:lineRule="auto"/>
        <w:ind w:left="852" w:right="0" w:firstLine="0"/>
        <w:jc w:val="left"/>
        <w:rPr>
          <w:lang w:val="ru-RU"/>
        </w:rPr>
      </w:pPr>
      <w:r w:rsidRPr="006F6812">
        <w:rPr>
          <w:sz w:val="24"/>
          <w:lang w:val="ru-RU"/>
        </w:rPr>
        <w:t xml:space="preserve"> </w:t>
      </w:r>
    </w:p>
    <w:p w:rsidR="004E0C65" w:rsidRDefault="006F6812">
      <w:pPr>
        <w:pStyle w:val="1"/>
        <w:ind w:left="1118" w:right="58" w:hanging="281"/>
      </w:pPr>
      <w:r>
        <w:t xml:space="preserve">Фінансово-економічне обґрунтування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Реалізація проекту акта не потребуватиме видатків з Державного бюджету України та місцевих бюджетів. </w:t>
      </w:r>
    </w:p>
    <w:p w:rsidR="004E0C65" w:rsidRPr="006F6812" w:rsidRDefault="006F6812">
      <w:pPr>
        <w:spacing w:after="69" w:line="259" w:lineRule="auto"/>
        <w:ind w:left="852" w:right="0" w:firstLine="0"/>
        <w:jc w:val="left"/>
        <w:rPr>
          <w:lang w:val="ru-RU"/>
        </w:rPr>
      </w:pPr>
      <w:r w:rsidRPr="006F6812">
        <w:rPr>
          <w:b/>
          <w:sz w:val="24"/>
          <w:lang w:val="ru-RU"/>
        </w:rPr>
        <w:t xml:space="preserve"> </w:t>
      </w:r>
    </w:p>
    <w:p w:rsidR="004E0C65" w:rsidRDefault="006F6812">
      <w:pPr>
        <w:pStyle w:val="1"/>
        <w:ind w:left="1118" w:right="58" w:hanging="281"/>
      </w:pPr>
      <w:r>
        <w:t xml:space="preserve">Позиція заінтересованих сторін </w:t>
      </w:r>
    </w:p>
    <w:p w:rsidR="004E0C65" w:rsidRPr="006F6812" w:rsidRDefault="006F6812">
      <w:pPr>
        <w:ind w:left="852" w:right="0" w:firstLine="0"/>
        <w:rPr>
          <w:lang w:val="ru-RU"/>
        </w:rPr>
      </w:pPr>
      <w:r w:rsidRPr="006F6812">
        <w:rPr>
          <w:lang w:val="ru-RU"/>
        </w:rPr>
        <w:t xml:space="preserve">Проект акта стосується соціально-трудової сфери.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Проект акта погоджено із зауваженнями, які в цілому враховано, Спільним представницьким органом репрезентативних всеукраїнських об’єднань профспілок на національному рівні, Спільним представницьким органом сторони роботодавців на національному рівні, Конфедерацією роботодавців України (інформаційні матеріали щодо врахування позицій соцпартнерів додаються).  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Проект акта не стосується прав осіб з інвалідністю та не потребує проведення консультацій із всеукраїнськими громадськими організаціями осіб із інвалідністю, їхніми спілками, а також Уповноваженим Президента України з прав людей з інвалідністю, Урядовим уповноваженим з прав осіб з інвалідністю.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Проект акта не стосується сфери функціонування і застосування української мови як державної та не потребує проведення консультацій із Уповноваженим із захисту державної мови.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Проект акта не стосується сфери наукової та науково-технічної діяльності та не потребує проведення консультацій з Науковим комітетом Національної ради України з питань розвитку науки і технологій.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lastRenderedPageBreak/>
        <w:t xml:space="preserve">Проект акта не стосується питань функціонування місцевого самоврядування, прав та інтересів територіальних громад, місцевого та регіонального розвитку. </w:t>
      </w:r>
    </w:p>
    <w:p w:rsidR="004E0C65" w:rsidRPr="006F6812" w:rsidRDefault="004E0C65" w:rsidP="006F6812">
      <w:pPr>
        <w:spacing w:after="0" w:line="259" w:lineRule="auto"/>
        <w:ind w:left="852" w:right="0" w:firstLine="0"/>
        <w:jc w:val="left"/>
        <w:rPr>
          <w:lang w:val="ru-RU"/>
        </w:rPr>
      </w:pPr>
    </w:p>
    <w:p w:rsidR="004E0C65" w:rsidRDefault="006F6812">
      <w:pPr>
        <w:spacing w:after="0" w:line="259" w:lineRule="auto"/>
        <w:ind w:left="289" w:right="0" w:hanging="10"/>
        <w:jc w:val="center"/>
      </w:pPr>
      <w:r>
        <w:rPr>
          <w:rFonts w:ascii="Calibri" w:eastAsia="Calibri" w:hAnsi="Calibri" w:cs="Calibri"/>
          <w:sz w:val="22"/>
        </w:rPr>
        <w:t xml:space="preserve">3 </w:t>
      </w:r>
    </w:p>
    <w:p w:rsidR="004E0C65" w:rsidRDefault="006F6812">
      <w:pPr>
        <w:spacing w:after="84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E0C65" w:rsidRDefault="006F6812">
      <w:pPr>
        <w:pStyle w:val="1"/>
        <w:ind w:left="1118" w:right="58" w:hanging="281"/>
      </w:pPr>
      <w:r>
        <w:t xml:space="preserve">Оцінка відповідності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Зобов’язання України у сфері європейської інтеграції (у тому числі міжнародно-правові) щодо предмета правового регулювання проекту акта на сьогоднішній день відсутні.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Проект акта не впливає на права і свободи, гарантовані Конвенцією про захист прав людини і основоположних свобод.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Проект акта позитивно впливає на забезпечення рівних прав та можливостей жінок і чоловіків.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Норми проекту акта спрямовані на удосконалення правового регулювання та оновлення законодавства про працю в частині індивідуальних трудових спорів та запровадять альтернативні не судові засоби для вирішення їх спорів при збереженні судової системи як основного механізму.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Проект акта не містить ризиків для сприяння вчинення корупційних правопорушень та правопорушень, пов’язаних з корупцією.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Громадська антикорупційна, громадська антидискримінаційна та громадська гендерно-правова експертизи не проводились.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На лист Мінекономіки від 16.01.2021 № 4706-02/2169-03 Національне агентство з питань запобігання корупції у зазначений строк не надало свій висновок.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>Відповідно до абзацу другого пункту 3 § 37</w:t>
      </w:r>
      <w:r w:rsidRPr="006F6812">
        <w:rPr>
          <w:vertAlign w:val="superscript"/>
          <w:lang w:val="ru-RU"/>
        </w:rPr>
        <w:t>2</w:t>
      </w:r>
      <w:r w:rsidRPr="006F6812">
        <w:rPr>
          <w:lang w:val="ru-RU"/>
        </w:rPr>
        <w:t xml:space="preserve"> Регламенту Кабінету Міністрів України, затвердженого постановою Кабінету Міністрів України від 18.07.2007 № 950 у разі коли Національне агентство з питань запобігання корупції у зазначений строк не надало свій висновок, вважається, що зауваження до проекту відсутні. </w:t>
      </w:r>
    </w:p>
    <w:p w:rsidR="004E0C65" w:rsidRPr="006F6812" w:rsidRDefault="006F6812">
      <w:pPr>
        <w:ind w:left="271" w:right="0" w:firstLine="708"/>
        <w:rPr>
          <w:lang w:val="ru-RU"/>
        </w:rPr>
      </w:pPr>
      <w:r w:rsidRPr="006F6812">
        <w:rPr>
          <w:lang w:val="ru-RU"/>
        </w:rPr>
        <w:t xml:space="preserve">Згідно з висновком Мінцифри проект акта не містить положень, що не узгоджуються із засадами реалізації принципів державної політики цифрового розвитку, та відповідає  законам України, іншим актам законодавства у сферах інформатизації, електронного урядування, формування і використання національних електронних інформаційних ресурсів, розвитку інформаційного суспільства, електронної демократії, електронного документообігу, надання адміністративних послуг, цифрового розвитку, електронних довірчих послуг та електронної ідентифікації. </w:t>
      </w:r>
    </w:p>
    <w:p w:rsidR="004E0C65" w:rsidRPr="006F6812" w:rsidRDefault="006F6812">
      <w:pPr>
        <w:spacing w:after="73" w:line="259" w:lineRule="auto"/>
        <w:ind w:left="852" w:right="0" w:firstLine="0"/>
        <w:jc w:val="left"/>
        <w:rPr>
          <w:lang w:val="ru-RU"/>
        </w:rPr>
      </w:pPr>
      <w:r w:rsidRPr="006F6812">
        <w:rPr>
          <w:sz w:val="24"/>
          <w:lang w:val="ru-RU"/>
        </w:rPr>
        <w:t xml:space="preserve"> </w:t>
      </w:r>
    </w:p>
    <w:p w:rsidR="004E0C65" w:rsidRDefault="006F6812">
      <w:pPr>
        <w:pStyle w:val="1"/>
        <w:ind w:left="1118" w:right="58" w:hanging="281"/>
      </w:pPr>
      <w:r>
        <w:t xml:space="preserve">Прогноз результатів </w:t>
      </w:r>
    </w:p>
    <w:p w:rsidR="004E0C65" w:rsidRPr="006F6812" w:rsidRDefault="006F6812">
      <w:pPr>
        <w:ind w:left="271" w:right="0"/>
        <w:rPr>
          <w:lang w:val="ru-RU"/>
        </w:rPr>
      </w:pPr>
      <w:r w:rsidRPr="006F6812">
        <w:rPr>
          <w:lang w:val="ru-RU"/>
        </w:rPr>
        <w:t xml:space="preserve">Прийняття проекту акта забезпечить альтернативні не судові засоби для вирішення їх спорів при збереженні судової системи як основного механізму вирішення спорів в суспільстві, визначення на законодавчому рівні предмет та сторони індивідуального трудового спору, а також осучаснення та приведення до </w:t>
      </w:r>
      <w:r w:rsidRPr="006F6812">
        <w:rPr>
          <w:lang w:val="ru-RU"/>
        </w:rPr>
        <w:lastRenderedPageBreak/>
        <w:t xml:space="preserve">існуючих реалій норм глави </w:t>
      </w:r>
      <w:r>
        <w:t>XV</w:t>
      </w:r>
      <w:r w:rsidRPr="006F6812">
        <w:rPr>
          <w:lang w:val="ru-RU"/>
        </w:rPr>
        <w:t xml:space="preserve"> «Індивідуальні трудові спори» Кодексу законів про працю України. </w:t>
      </w:r>
    </w:p>
    <w:p w:rsidR="004E0C65" w:rsidRPr="006F6812" w:rsidRDefault="006F6812">
      <w:pPr>
        <w:spacing w:after="73" w:line="259" w:lineRule="auto"/>
        <w:ind w:left="852" w:right="0" w:firstLine="0"/>
        <w:jc w:val="left"/>
        <w:rPr>
          <w:lang w:val="ru-RU"/>
        </w:rPr>
      </w:pPr>
      <w:r w:rsidRPr="006F6812">
        <w:rPr>
          <w:sz w:val="24"/>
          <w:lang w:val="ru-RU"/>
        </w:rPr>
        <w:t xml:space="preserve"> </w:t>
      </w:r>
    </w:p>
    <w:p w:rsidR="004E0C65" w:rsidRPr="006F6812" w:rsidRDefault="006F6812">
      <w:pPr>
        <w:pStyle w:val="1"/>
        <w:numPr>
          <w:ilvl w:val="0"/>
          <w:numId w:val="0"/>
        </w:numPr>
        <w:ind w:left="296" w:right="58"/>
        <w:rPr>
          <w:lang w:val="ru-RU"/>
        </w:rPr>
      </w:pPr>
      <w:r w:rsidRPr="006F6812">
        <w:rPr>
          <w:lang w:val="ru-RU"/>
        </w:rPr>
        <w:t xml:space="preserve">Міністр розвитку економіки, торгівлі  та сільського господарства України </w:t>
      </w:r>
      <w:r w:rsidRPr="006F6812">
        <w:rPr>
          <w:lang w:val="ru-RU"/>
        </w:rPr>
        <w:tab/>
        <w:t xml:space="preserve"> </w:t>
      </w:r>
      <w:r w:rsidRPr="006F6812">
        <w:rPr>
          <w:lang w:val="ru-RU"/>
        </w:rPr>
        <w:tab/>
        <w:t xml:space="preserve">                       Ігор ПЕТРАШКО </w:t>
      </w:r>
    </w:p>
    <w:p w:rsidR="004E0C65" w:rsidRPr="006F6812" w:rsidRDefault="006F6812">
      <w:pPr>
        <w:spacing w:after="0" w:line="259" w:lineRule="auto"/>
        <w:ind w:left="1136" w:right="0" w:firstLine="0"/>
        <w:jc w:val="left"/>
        <w:rPr>
          <w:lang w:val="ru-RU"/>
        </w:rPr>
      </w:pPr>
      <w:r w:rsidRPr="006F6812">
        <w:rPr>
          <w:lang w:val="ru-RU"/>
        </w:rPr>
        <w:t xml:space="preserve"> </w:t>
      </w:r>
    </w:p>
    <w:p w:rsidR="004E0C65" w:rsidRDefault="006F6812">
      <w:pPr>
        <w:ind w:left="271" w:right="0" w:firstLine="0"/>
      </w:pPr>
      <w:r>
        <w:t>___  ____________ 20__ р.</w:t>
      </w:r>
      <w:r>
        <w:rPr>
          <w:rFonts w:ascii="Calibri" w:eastAsia="Calibri" w:hAnsi="Calibri" w:cs="Calibri"/>
          <w:sz w:val="22"/>
        </w:rPr>
        <w:t xml:space="preserve"> </w:t>
      </w:r>
    </w:p>
    <w:sectPr w:rsidR="004E0C65">
      <w:pgSz w:w="11906" w:h="16838"/>
      <w:pgMar w:top="751" w:right="844" w:bottom="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66941"/>
    <w:multiLevelType w:val="hybridMultilevel"/>
    <w:tmpl w:val="70F02976"/>
    <w:lvl w:ilvl="0" w:tplc="E7F2C3B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2C9C00">
      <w:start w:val="1"/>
      <w:numFmt w:val="lowerLetter"/>
      <w:lvlText w:val="%2"/>
      <w:lvlJc w:val="left"/>
      <w:pPr>
        <w:ind w:left="1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76B59C">
      <w:start w:val="1"/>
      <w:numFmt w:val="lowerRoman"/>
      <w:lvlText w:val="%3"/>
      <w:lvlJc w:val="left"/>
      <w:pPr>
        <w:ind w:left="2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766680">
      <w:start w:val="1"/>
      <w:numFmt w:val="decimal"/>
      <w:lvlText w:val="%4"/>
      <w:lvlJc w:val="left"/>
      <w:pPr>
        <w:ind w:left="3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D4406E">
      <w:start w:val="1"/>
      <w:numFmt w:val="lowerLetter"/>
      <w:lvlText w:val="%5"/>
      <w:lvlJc w:val="left"/>
      <w:pPr>
        <w:ind w:left="3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6A81CC">
      <w:start w:val="1"/>
      <w:numFmt w:val="lowerRoman"/>
      <w:lvlText w:val="%6"/>
      <w:lvlJc w:val="left"/>
      <w:pPr>
        <w:ind w:left="4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F4271A">
      <w:start w:val="1"/>
      <w:numFmt w:val="decimal"/>
      <w:lvlText w:val="%7"/>
      <w:lvlJc w:val="left"/>
      <w:pPr>
        <w:ind w:left="5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048A24">
      <w:start w:val="1"/>
      <w:numFmt w:val="lowerLetter"/>
      <w:lvlText w:val="%8"/>
      <w:lvlJc w:val="left"/>
      <w:pPr>
        <w:ind w:left="6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F26EF2">
      <w:start w:val="1"/>
      <w:numFmt w:val="lowerRoman"/>
      <w:lvlText w:val="%9"/>
      <w:lvlJc w:val="left"/>
      <w:pPr>
        <w:ind w:left="6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23243A"/>
    <w:multiLevelType w:val="hybridMultilevel"/>
    <w:tmpl w:val="2132E35E"/>
    <w:lvl w:ilvl="0" w:tplc="10A6FE78">
      <w:start w:val="1"/>
      <w:numFmt w:val="bullet"/>
      <w:lvlText w:val="-"/>
      <w:lvlJc w:val="left"/>
      <w:pPr>
        <w:ind w:left="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9AF124">
      <w:start w:val="1"/>
      <w:numFmt w:val="bullet"/>
      <w:lvlText w:val="o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6E6370">
      <w:start w:val="1"/>
      <w:numFmt w:val="bullet"/>
      <w:lvlText w:val="▪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244BA2">
      <w:start w:val="1"/>
      <w:numFmt w:val="bullet"/>
      <w:lvlText w:val="•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8E9AE8">
      <w:start w:val="1"/>
      <w:numFmt w:val="bullet"/>
      <w:lvlText w:val="o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301C08">
      <w:start w:val="1"/>
      <w:numFmt w:val="bullet"/>
      <w:lvlText w:val="▪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DA1716">
      <w:start w:val="1"/>
      <w:numFmt w:val="bullet"/>
      <w:lvlText w:val="•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EE16D2">
      <w:start w:val="1"/>
      <w:numFmt w:val="bullet"/>
      <w:lvlText w:val="o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C8F0EC">
      <w:start w:val="1"/>
      <w:numFmt w:val="bullet"/>
      <w:lvlText w:val="▪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C65"/>
    <w:rsid w:val="004E0C65"/>
    <w:rsid w:val="005542B7"/>
    <w:rsid w:val="006F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F963-3E76-41AC-B435-3D8B796E5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8" w:lineRule="auto"/>
      <w:ind w:left="286" w:right="2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"/>
      </w:numPr>
      <w:spacing w:after="4" w:line="266" w:lineRule="auto"/>
      <w:ind w:left="85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4719</Words>
  <Characters>2691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dcterms:created xsi:type="dcterms:W3CDTF">2021-05-25T07:36:00Z</dcterms:created>
  <dcterms:modified xsi:type="dcterms:W3CDTF">2021-05-25T07:36:00Z</dcterms:modified>
</cp:coreProperties>
</file>