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836" w:rsidRPr="007B0A3E" w:rsidRDefault="003B4836" w:rsidP="00933705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0" w:name="_GoBack"/>
      <w:bookmarkEnd w:id="0"/>
      <w:r w:rsidRPr="007B0A3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Порівняльна таблиця</w:t>
      </w:r>
    </w:p>
    <w:p w:rsidR="003B4836" w:rsidRPr="007B0A3E" w:rsidRDefault="003B4836" w:rsidP="003B4836">
      <w:pPr>
        <w:jc w:val="center"/>
        <w:rPr>
          <w:rFonts w:ascii="Times New Roman" w:hAnsi="Times New Roman"/>
          <w:b/>
          <w:sz w:val="28"/>
          <w:szCs w:val="28"/>
        </w:rPr>
      </w:pPr>
      <w:r w:rsidRPr="007B0A3E">
        <w:rPr>
          <w:rFonts w:ascii="Times New Roman" w:hAnsi="Times New Roman"/>
          <w:b/>
          <w:sz w:val="28"/>
          <w:szCs w:val="28"/>
        </w:rPr>
        <w:t xml:space="preserve">до проекту Закону України </w:t>
      </w:r>
    </w:p>
    <w:p w:rsidR="00FF5C53" w:rsidRPr="007B0A3E" w:rsidRDefault="003B4836" w:rsidP="003B4836">
      <w:pPr>
        <w:jc w:val="center"/>
        <w:rPr>
          <w:rFonts w:ascii="Times New Roman" w:hAnsi="Times New Roman"/>
          <w:b/>
          <w:sz w:val="28"/>
          <w:szCs w:val="28"/>
        </w:rPr>
      </w:pPr>
      <w:r w:rsidRPr="007B0A3E">
        <w:rPr>
          <w:rFonts w:ascii="Times New Roman" w:hAnsi="Times New Roman"/>
          <w:b/>
          <w:sz w:val="28"/>
          <w:szCs w:val="28"/>
        </w:rPr>
        <w:t>«Про внесення змін до деяких закон</w:t>
      </w:r>
      <w:r w:rsidR="00FF5C53" w:rsidRPr="007B0A3E">
        <w:rPr>
          <w:rFonts w:ascii="Times New Roman" w:hAnsi="Times New Roman"/>
          <w:b/>
          <w:sz w:val="28"/>
          <w:szCs w:val="28"/>
        </w:rPr>
        <w:t>ів</w:t>
      </w:r>
      <w:r w:rsidRPr="007B0A3E">
        <w:rPr>
          <w:rFonts w:ascii="Times New Roman" w:hAnsi="Times New Roman"/>
          <w:b/>
          <w:sz w:val="28"/>
          <w:szCs w:val="28"/>
        </w:rPr>
        <w:t xml:space="preserve"> України щодо</w:t>
      </w:r>
      <w:r w:rsidR="00FF5C53" w:rsidRPr="007B0A3E">
        <w:rPr>
          <w:rFonts w:ascii="Times New Roman" w:hAnsi="Times New Roman"/>
          <w:b/>
          <w:sz w:val="28"/>
          <w:szCs w:val="28"/>
        </w:rPr>
        <w:t xml:space="preserve"> набуття акціонерним  товариством</w:t>
      </w:r>
    </w:p>
    <w:p w:rsidR="003B4836" w:rsidRPr="007B0A3E" w:rsidRDefault="00FF5C53" w:rsidP="003B4836">
      <w:pPr>
        <w:jc w:val="center"/>
        <w:rPr>
          <w:rFonts w:ascii="Times New Roman" w:hAnsi="Times New Roman"/>
          <w:b/>
          <w:sz w:val="28"/>
          <w:szCs w:val="28"/>
        </w:rPr>
      </w:pPr>
      <w:r w:rsidRPr="007B0A3E">
        <w:rPr>
          <w:rFonts w:ascii="Times New Roman" w:hAnsi="Times New Roman"/>
          <w:b/>
          <w:sz w:val="28"/>
          <w:szCs w:val="28"/>
        </w:rPr>
        <w:t>«Державний ощадний банк України» статусу учасника Фонду гарантування вкладів фізичних осіб»</w:t>
      </w:r>
      <w:r w:rsidR="003B4836" w:rsidRPr="007B0A3E">
        <w:rPr>
          <w:rFonts w:ascii="Times New Roman" w:hAnsi="Times New Roman"/>
          <w:b/>
          <w:sz w:val="28"/>
          <w:szCs w:val="28"/>
        </w:rPr>
        <w:t xml:space="preserve"> </w:t>
      </w:r>
    </w:p>
    <w:p w:rsidR="003A30AE" w:rsidRPr="007B0A3E" w:rsidRDefault="003A30AE" w:rsidP="003B48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181FAF" w:rsidRPr="007B0A3E" w:rsidRDefault="00181FAF" w:rsidP="003B483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5038" w:type="dxa"/>
        <w:tblLook w:val="04A0" w:firstRow="1" w:lastRow="0" w:firstColumn="1" w:lastColumn="0" w:noHBand="0" w:noVBand="1"/>
      </w:tblPr>
      <w:tblGrid>
        <w:gridCol w:w="675"/>
        <w:gridCol w:w="62"/>
        <w:gridCol w:w="7168"/>
        <w:gridCol w:w="28"/>
        <w:gridCol w:w="7059"/>
        <w:gridCol w:w="46"/>
      </w:tblGrid>
      <w:tr w:rsidR="0073318D" w:rsidRPr="007B0A3E" w:rsidTr="00776426">
        <w:tc>
          <w:tcPr>
            <w:tcW w:w="737" w:type="dxa"/>
            <w:gridSpan w:val="2"/>
          </w:tcPr>
          <w:p w:rsidR="0073318D" w:rsidRPr="007B0A3E" w:rsidRDefault="0073318D" w:rsidP="009C6FF3">
            <w:pPr>
              <w:ind w:left="27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96" w:type="dxa"/>
            <w:gridSpan w:val="2"/>
          </w:tcPr>
          <w:p w:rsidR="0073318D" w:rsidRPr="007B0A3E" w:rsidRDefault="0073318D" w:rsidP="003B4836">
            <w:pPr>
              <w:ind w:firstLine="13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0A3E">
              <w:rPr>
                <w:rFonts w:ascii="Times New Roman" w:hAnsi="Times New Roman"/>
                <w:b/>
                <w:sz w:val="28"/>
                <w:szCs w:val="28"/>
              </w:rPr>
              <w:t>Зміст положення акта законодавства</w:t>
            </w:r>
          </w:p>
          <w:p w:rsidR="003A30AE" w:rsidRPr="007B0A3E" w:rsidRDefault="003A30AE" w:rsidP="003B4836">
            <w:pPr>
              <w:ind w:firstLine="13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05" w:type="dxa"/>
            <w:gridSpan w:val="2"/>
          </w:tcPr>
          <w:p w:rsidR="0073318D" w:rsidRPr="007B0A3E" w:rsidRDefault="0073318D" w:rsidP="003B4836">
            <w:pPr>
              <w:ind w:firstLine="13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0A3E">
              <w:rPr>
                <w:rFonts w:ascii="Times New Roman" w:hAnsi="Times New Roman"/>
                <w:b/>
                <w:sz w:val="28"/>
                <w:szCs w:val="28"/>
              </w:rPr>
              <w:t>Зміст відповідного положення проекту акта</w:t>
            </w:r>
          </w:p>
        </w:tc>
      </w:tr>
      <w:tr w:rsidR="006B648E" w:rsidRPr="007B0A3E" w:rsidTr="00776426">
        <w:tc>
          <w:tcPr>
            <w:tcW w:w="15038" w:type="dxa"/>
            <w:gridSpan w:val="6"/>
          </w:tcPr>
          <w:p w:rsidR="006B648E" w:rsidRPr="007B0A3E" w:rsidRDefault="006B648E" w:rsidP="007331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0A3E">
              <w:rPr>
                <w:rFonts w:ascii="Times New Roman" w:hAnsi="Times New Roman"/>
                <w:b/>
                <w:sz w:val="28"/>
                <w:szCs w:val="28"/>
              </w:rPr>
              <w:t>Закон України «Про банки та банківську діяльність»</w:t>
            </w:r>
          </w:p>
          <w:p w:rsidR="003A30AE" w:rsidRPr="007B0A3E" w:rsidRDefault="003A30AE" w:rsidP="007331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318D" w:rsidRPr="007B0A3E" w:rsidTr="00776426">
        <w:tc>
          <w:tcPr>
            <w:tcW w:w="737" w:type="dxa"/>
            <w:gridSpan w:val="2"/>
          </w:tcPr>
          <w:p w:rsidR="0073318D" w:rsidRPr="007B0A3E" w:rsidRDefault="0073318D" w:rsidP="009C6FF3">
            <w:pPr>
              <w:pStyle w:val="rvps2"/>
              <w:numPr>
                <w:ilvl w:val="0"/>
                <w:numId w:val="18"/>
              </w:numPr>
              <w:shd w:val="clear" w:color="auto" w:fill="FFFFFF"/>
              <w:spacing w:before="0" w:beforeAutospacing="0" w:after="112" w:afterAutospacing="0"/>
              <w:ind w:left="0" w:firstLine="0"/>
              <w:rPr>
                <w:rStyle w:val="rvts9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7196" w:type="dxa"/>
            <w:gridSpan w:val="2"/>
          </w:tcPr>
          <w:p w:rsidR="0073318D" w:rsidRPr="007B0A3E" w:rsidRDefault="0073318D" w:rsidP="00BF6839">
            <w:pPr>
              <w:pStyle w:val="rvps2"/>
              <w:shd w:val="clear" w:color="auto" w:fill="FFFFFF"/>
              <w:spacing w:before="0" w:beforeAutospacing="0" w:after="0" w:afterAutospacing="0"/>
              <w:ind w:firstLine="309"/>
              <w:jc w:val="both"/>
              <w:rPr>
                <w:sz w:val="28"/>
                <w:szCs w:val="28"/>
              </w:rPr>
            </w:pPr>
            <w:r w:rsidRPr="007B0A3E">
              <w:rPr>
                <w:rStyle w:val="rvts9"/>
                <w:b/>
                <w:bCs/>
                <w:sz w:val="28"/>
                <w:szCs w:val="28"/>
              </w:rPr>
              <w:t>Стаття 57. </w:t>
            </w:r>
            <w:r w:rsidRPr="007B0A3E">
              <w:rPr>
                <w:sz w:val="28"/>
                <w:szCs w:val="28"/>
              </w:rPr>
              <w:t>Гарантування вкладів фізичних осіб</w:t>
            </w:r>
          </w:p>
          <w:p w:rsidR="0073318D" w:rsidRPr="007B0A3E" w:rsidRDefault="0073318D" w:rsidP="00BF6839">
            <w:pPr>
              <w:pStyle w:val="rvps2"/>
              <w:shd w:val="clear" w:color="auto" w:fill="FFFFFF"/>
              <w:spacing w:before="0" w:beforeAutospacing="0" w:after="0" w:afterAutospacing="0"/>
              <w:ind w:firstLine="309"/>
              <w:jc w:val="both"/>
              <w:rPr>
                <w:sz w:val="28"/>
                <w:szCs w:val="28"/>
                <w:u w:val="single"/>
              </w:rPr>
            </w:pPr>
          </w:p>
          <w:p w:rsidR="0073318D" w:rsidRPr="007B0A3E" w:rsidRDefault="0073318D" w:rsidP="00BF6839">
            <w:pPr>
              <w:pStyle w:val="rvps2"/>
              <w:shd w:val="clear" w:color="auto" w:fill="FFFFFF"/>
              <w:spacing w:before="0" w:beforeAutospacing="0" w:after="0" w:afterAutospacing="0"/>
              <w:ind w:firstLine="309"/>
              <w:jc w:val="both"/>
              <w:rPr>
                <w:strike/>
                <w:sz w:val="28"/>
                <w:szCs w:val="28"/>
              </w:rPr>
            </w:pPr>
            <w:bookmarkStart w:id="1" w:name="n958"/>
            <w:bookmarkStart w:id="2" w:name="n959"/>
            <w:bookmarkStart w:id="3" w:name="n960"/>
            <w:bookmarkEnd w:id="1"/>
            <w:bookmarkEnd w:id="2"/>
            <w:bookmarkEnd w:id="3"/>
            <w:r w:rsidRPr="007B0A3E">
              <w:rPr>
                <w:strike/>
                <w:sz w:val="28"/>
                <w:szCs w:val="28"/>
              </w:rPr>
              <w:t>Вклади фізичних осіб Державного ощадного банку України гарантуються державою.</w:t>
            </w:r>
          </w:p>
          <w:p w:rsidR="003A30AE" w:rsidRPr="007B0A3E" w:rsidRDefault="003A30AE" w:rsidP="00BF6839">
            <w:pPr>
              <w:pStyle w:val="rvps2"/>
              <w:shd w:val="clear" w:color="auto" w:fill="FFFFFF"/>
              <w:spacing w:before="0" w:beforeAutospacing="0" w:after="0" w:afterAutospacing="0"/>
              <w:ind w:firstLine="309"/>
              <w:jc w:val="both"/>
              <w:rPr>
                <w:b/>
                <w:strike/>
                <w:sz w:val="28"/>
                <w:szCs w:val="28"/>
              </w:rPr>
            </w:pPr>
          </w:p>
        </w:tc>
        <w:tc>
          <w:tcPr>
            <w:tcW w:w="7105" w:type="dxa"/>
            <w:gridSpan w:val="2"/>
          </w:tcPr>
          <w:p w:rsidR="0073318D" w:rsidRPr="007B0A3E" w:rsidRDefault="0073318D" w:rsidP="00BF6839">
            <w:pPr>
              <w:pStyle w:val="rvps2"/>
              <w:shd w:val="clear" w:color="auto" w:fill="FFFFFF"/>
              <w:spacing w:before="0" w:beforeAutospacing="0" w:after="0" w:afterAutospacing="0"/>
              <w:ind w:firstLine="309"/>
              <w:jc w:val="both"/>
              <w:rPr>
                <w:b/>
                <w:sz w:val="28"/>
                <w:szCs w:val="28"/>
              </w:rPr>
            </w:pPr>
            <w:r w:rsidRPr="007B0A3E">
              <w:rPr>
                <w:rStyle w:val="rvts9"/>
                <w:b/>
                <w:bCs/>
                <w:sz w:val="28"/>
                <w:szCs w:val="28"/>
              </w:rPr>
              <w:t>Стаття 57. </w:t>
            </w:r>
            <w:r w:rsidRPr="007B0A3E">
              <w:rPr>
                <w:sz w:val="28"/>
                <w:szCs w:val="28"/>
              </w:rPr>
              <w:t>Гарантування вкладів фізичних осіб</w:t>
            </w:r>
          </w:p>
          <w:p w:rsidR="0073318D" w:rsidRPr="007B0A3E" w:rsidRDefault="0073318D" w:rsidP="00BF6839">
            <w:pPr>
              <w:ind w:firstLine="309"/>
              <w:rPr>
                <w:rFonts w:ascii="Times New Roman" w:hAnsi="Times New Roman"/>
                <w:sz w:val="28"/>
                <w:szCs w:val="28"/>
              </w:rPr>
            </w:pPr>
          </w:p>
          <w:p w:rsidR="0073318D" w:rsidRPr="007B0A3E" w:rsidRDefault="0073318D" w:rsidP="00FF5C53">
            <w:pPr>
              <w:ind w:firstLine="309"/>
              <w:rPr>
                <w:rFonts w:ascii="Times New Roman" w:hAnsi="Times New Roman"/>
                <w:b/>
                <w:sz w:val="28"/>
                <w:szCs w:val="28"/>
              </w:rPr>
            </w:pPr>
            <w:r w:rsidRPr="007B0A3E">
              <w:rPr>
                <w:rFonts w:ascii="Times New Roman" w:hAnsi="Times New Roman"/>
                <w:b/>
                <w:sz w:val="28"/>
                <w:szCs w:val="28"/>
              </w:rPr>
              <w:t>Виключити</w:t>
            </w:r>
          </w:p>
        </w:tc>
      </w:tr>
      <w:tr w:rsidR="006B648E" w:rsidRPr="007B0A3E" w:rsidTr="00776426">
        <w:trPr>
          <w:trHeight w:val="70"/>
        </w:trPr>
        <w:tc>
          <w:tcPr>
            <w:tcW w:w="15038" w:type="dxa"/>
            <w:gridSpan w:val="6"/>
          </w:tcPr>
          <w:p w:rsidR="006B648E" w:rsidRPr="007B0A3E" w:rsidRDefault="006B648E" w:rsidP="0073318D">
            <w:pPr>
              <w:autoSpaceDN w:val="0"/>
              <w:ind w:firstLine="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0A3E">
              <w:rPr>
                <w:rFonts w:ascii="Times New Roman" w:hAnsi="Times New Roman"/>
                <w:b/>
                <w:sz w:val="28"/>
                <w:szCs w:val="28"/>
              </w:rPr>
              <w:t>Закон України «Про систему гарантування вкладів фізичних осіб»</w:t>
            </w:r>
          </w:p>
          <w:p w:rsidR="003A30AE" w:rsidRPr="007B0A3E" w:rsidRDefault="003A30AE" w:rsidP="0073318D">
            <w:pPr>
              <w:autoSpaceDN w:val="0"/>
              <w:ind w:firstLine="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A30AE" w:rsidRPr="007B0A3E" w:rsidTr="00776426">
        <w:trPr>
          <w:gridAfter w:val="1"/>
          <w:wAfter w:w="46" w:type="dxa"/>
        </w:trPr>
        <w:tc>
          <w:tcPr>
            <w:tcW w:w="675" w:type="dxa"/>
          </w:tcPr>
          <w:p w:rsidR="003A30AE" w:rsidRPr="007B0A3E" w:rsidRDefault="00776426" w:rsidP="00776426">
            <w:pP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7B0A3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</w:t>
            </w:r>
            <w:r w:rsidR="003A30AE" w:rsidRPr="007B0A3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230" w:type="dxa"/>
            <w:gridSpan w:val="2"/>
          </w:tcPr>
          <w:p w:rsidR="003A30AE" w:rsidRPr="007B0A3E" w:rsidRDefault="003A30AE" w:rsidP="003A3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Style w:val="rvts15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B0A3E">
              <w:rPr>
                <w:rStyle w:val="rvts15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Розділ Х ПРИКІНЦЕВІ ТА ПЕРЕХІДНІ ПОЛОЖЕННЯ</w:t>
            </w:r>
          </w:p>
          <w:p w:rsidR="003A30AE" w:rsidRPr="007B0A3E" w:rsidRDefault="003A30AE" w:rsidP="003A3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trike/>
              </w:rPr>
            </w:pPr>
          </w:p>
          <w:p w:rsidR="003A30AE" w:rsidRPr="007B0A3E" w:rsidRDefault="003A30AE" w:rsidP="00F564B8">
            <w:pPr>
              <w:ind w:firstLine="459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B0A3E">
              <w:rPr>
                <w:rFonts w:ascii="Times New Roman" w:hAnsi="Times New Roman"/>
                <w:strike/>
                <w:sz w:val="28"/>
                <w:szCs w:val="28"/>
                <w:lang w:eastAsia="uk-UA"/>
              </w:rPr>
              <w:t>6. Дія цього Закону не поширюється на акціонерне товариство "Державний ощадний банк України" (до прийняття відповідного закону щодо участі такого банку у Фонді).</w:t>
            </w:r>
          </w:p>
        </w:tc>
        <w:tc>
          <w:tcPr>
            <w:tcW w:w="7087" w:type="dxa"/>
            <w:gridSpan w:val="2"/>
          </w:tcPr>
          <w:p w:rsidR="003A30AE" w:rsidRPr="007B0A3E" w:rsidRDefault="003A30AE" w:rsidP="007B0A3E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sz w:val="28"/>
                <w:szCs w:val="28"/>
              </w:rPr>
            </w:pPr>
            <w:r w:rsidRPr="007B0A3E">
              <w:rPr>
                <w:rStyle w:val="rvts9"/>
                <w:b/>
                <w:bCs/>
                <w:sz w:val="28"/>
                <w:szCs w:val="28"/>
              </w:rPr>
              <w:t>Розділ Х ПРИКІНЦЕВІ ТА ПЕРЕХІДНІ ПОЛОЖЕННЯ</w:t>
            </w:r>
          </w:p>
          <w:p w:rsidR="003A30AE" w:rsidRPr="007B0A3E" w:rsidRDefault="003A30AE" w:rsidP="007B0A3E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sz w:val="28"/>
                <w:szCs w:val="28"/>
              </w:rPr>
            </w:pPr>
          </w:p>
          <w:p w:rsidR="003A30AE" w:rsidRPr="007B0A3E" w:rsidRDefault="003A30AE" w:rsidP="007B0A3E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sz w:val="28"/>
                <w:szCs w:val="28"/>
              </w:rPr>
            </w:pPr>
            <w:r w:rsidRPr="007B0A3E">
              <w:rPr>
                <w:rStyle w:val="rvts9"/>
                <w:b/>
                <w:bCs/>
                <w:sz w:val="28"/>
                <w:szCs w:val="28"/>
              </w:rPr>
              <w:t>Виключити</w:t>
            </w:r>
          </w:p>
          <w:p w:rsidR="00776426" w:rsidRPr="007B0A3E" w:rsidRDefault="00776426" w:rsidP="007B0A3E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sz w:val="28"/>
                <w:szCs w:val="28"/>
              </w:rPr>
            </w:pPr>
          </w:p>
          <w:p w:rsidR="00776426" w:rsidRPr="007B0A3E" w:rsidRDefault="00776426" w:rsidP="007B0A3E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sz w:val="28"/>
                <w:szCs w:val="28"/>
              </w:rPr>
            </w:pPr>
          </w:p>
          <w:p w:rsidR="00776426" w:rsidRPr="007B0A3E" w:rsidRDefault="00776426" w:rsidP="007B0A3E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sz w:val="28"/>
                <w:szCs w:val="28"/>
              </w:rPr>
            </w:pPr>
          </w:p>
          <w:p w:rsidR="00776426" w:rsidRPr="007B0A3E" w:rsidRDefault="00776426" w:rsidP="007B0A3E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sz w:val="28"/>
                <w:szCs w:val="28"/>
              </w:rPr>
            </w:pPr>
            <w:r w:rsidRPr="007B0A3E">
              <w:rPr>
                <w:rStyle w:val="rvts9"/>
                <w:b/>
                <w:bCs/>
                <w:sz w:val="28"/>
                <w:szCs w:val="28"/>
              </w:rPr>
              <w:t xml:space="preserve">16. </w:t>
            </w:r>
            <w:r w:rsidR="007B0A3E" w:rsidRPr="007B0A3E">
              <w:rPr>
                <w:rStyle w:val="rvts9"/>
                <w:b/>
                <w:bCs/>
                <w:sz w:val="28"/>
                <w:szCs w:val="28"/>
              </w:rPr>
              <w:t>Особливості</w:t>
            </w:r>
            <w:r w:rsidRPr="007B0A3E">
              <w:rPr>
                <w:rStyle w:val="rvts9"/>
                <w:b/>
                <w:bCs/>
                <w:sz w:val="28"/>
                <w:szCs w:val="28"/>
              </w:rPr>
              <w:t xml:space="preserve"> набуття акціонерним товариством «Державний ощадний банк України» (далі – АТ «Ощадбанк») </w:t>
            </w:r>
            <w:r w:rsidR="007B0A3E" w:rsidRPr="007B0A3E">
              <w:rPr>
                <w:rStyle w:val="rvts9"/>
                <w:b/>
                <w:bCs/>
                <w:sz w:val="28"/>
                <w:szCs w:val="28"/>
              </w:rPr>
              <w:t xml:space="preserve">статусу учасника Фонду визначаються </w:t>
            </w:r>
            <w:r w:rsidR="007B0A3E" w:rsidRPr="007B0A3E">
              <w:rPr>
                <w:rStyle w:val="rvts9"/>
                <w:b/>
                <w:bCs/>
                <w:sz w:val="28"/>
                <w:szCs w:val="28"/>
              </w:rPr>
              <w:lastRenderedPageBreak/>
              <w:t>цим</w:t>
            </w:r>
            <w:r w:rsidRPr="007B0A3E">
              <w:rPr>
                <w:rStyle w:val="rvts9"/>
                <w:b/>
                <w:bCs/>
                <w:sz w:val="28"/>
                <w:szCs w:val="28"/>
              </w:rPr>
              <w:t xml:space="preserve"> Законом та </w:t>
            </w:r>
            <w:r w:rsidR="007B0A3E" w:rsidRPr="007B0A3E">
              <w:rPr>
                <w:rStyle w:val="rvts9"/>
                <w:b/>
                <w:bCs/>
                <w:sz w:val="28"/>
                <w:szCs w:val="28"/>
              </w:rPr>
              <w:t>нормативно-правовими</w:t>
            </w:r>
            <w:r w:rsidRPr="007B0A3E">
              <w:rPr>
                <w:rStyle w:val="rvts9"/>
                <w:b/>
                <w:bCs/>
                <w:sz w:val="28"/>
                <w:szCs w:val="28"/>
              </w:rPr>
              <w:t xml:space="preserve"> </w:t>
            </w:r>
            <w:r w:rsidR="007B0A3E" w:rsidRPr="007B0A3E">
              <w:rPr>
                <w:rStyle w:val="rvts9"/>
                <w:b/>
                <w:bCs/>
                <w:sz w:val="28"/>
                <w:szCs w:val="28"/>
              </w:rPr>
              <w:t>актами Фонду.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«Ощадбанк» набуває статусу учасника Фонду з дня набрання чинності Законом України ««Про внесення змін до деяких законів України щодо набуття акціонерним товариством «Державний ощадний банк України» статусу учасника Фонду гарантування вкладів фізичних осіб»».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Фонд відшкодовує кошти за вкладами, що відповідають визначенню терміну «вклад», наведеному у статті 2 цього Закону, залученими АТ «Ощадбанк» від вкладників, ідентифікованих АТ «Ощадбанк» відповідно до законодавства.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17. З дня набуття 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статусу учасника Фонду: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якщо вклад, залучений 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до дня набуття ним статусу учасника Фонду, перевищує граничний розмір відшкодування коштів за вкладом, частина такого вкладу, що перевищує граничний розмір відшкодування коштів за вкладом, гарантується державою;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якщо за вкладом, залученим 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до дня набуття ним статусу учасника Фонду, Фонд відповідно до закону не відшкодовує кошти, такий вклад гарантується державою. 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Гарантії держави, зазначені у цьому пункті, діють до закінчення шестимісячного строку з дня набуття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статусу учасника Фонду.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18. 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протягом 90 календарних днів з дати набуття статусу учасника Фонду сплачує до Фонду початковий збір у розмірі 1 відсотка свого регулятивного капіталу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визначеного 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станом на дату набуття статусу учасника Фонду.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19. Протягом трьох років з дня набуття 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статусу учасника Фонду: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1) 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сплачує регулярний збір до Фонду лише з розрахунку базової річної ставки збору, визначеної статтею 22 цього Закону. Розрахунок розміру регулярних зборів до Фонду у формі диференційованих зборів не застосовується до 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;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2) Фонд своїми нормативно-правовими актами встановлює особливості подання 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звітності до Фонду та здійснення Фондом перевірки Ощадбанку;</w:t>
            </w: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7B0A3E" w:rsidRPr="007B0A3E" w:rsidRDefault="007B0A3E" w:rsidP="007B0A3E">
            <w:pPr>
              <w:ind w:firstLine="448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3) Фонд може застосовувати до 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адміністративно-господарські санкції у вигляді штрафу за порушення, передбачені частиною другою статті 33 цього Закону, та у розмірах, визначених відповідно до статті 33 цього Закону, якщо 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АТ «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Ощадбанк</w:t>
            </w:r>
            <w:r w:rsidR="0035208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»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не виконав або несвоєчасно виконав розпорядження про усунення порушень </w:t>
            </w:r>
            <w:r w:rsidRPr="007B0A3E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lastRenderedPageBreak/>
              <w:t>законодавства про систему гарантування вкладів фізичних осіб або повторно протягом року вчинив правопорушення.</w:t>
            </w:r>
          </w:p>
          <w:p w:rsidR="007B0A3E" w:rsidRPr="007B0A3E" w:rsidRDefault="007B0A3E" w:rsidP="007B0A3E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sz w:val="28"/>
                <w:szCs w:val="28"/>
              </w:rPr>
            </w:pPr>
            <w:r w:rsidRPr="007B0A3E">
              <w:rPr>
                <w:rStyle w:val="rvts9"/>
                <w:b/>
                <w:bCs/>
                <w:sz w:val="28"/>
                <w:szCs w:val="28"/>
              </w:rPr>
              <w:t>Ознаки повторності протягом року вчинення</w:t>
            </w:r>
            <w:r w:rsidR="00352081">
              <w:rPr>
                <w:rStyle w:val="rvts9"/>
                <w:b/>
                <w:bCs/>
                <w:sz w:val="28"/>
                <w:szCs w:val="28"/>
              </w:rPr>
              <w:t xml:space="preserve"> АТ «</w:t>
            </w:r>
            <w:r w:rsidRPr="007B0A3E">
              <w:rPr>
                <w:rStyle w:val="rvts9"/>
                <w:b/>
                <w:bCs/>
                <w:sz w:val="28"/>
                <w:szCs w:val="28"/>
              </w:rPr>
              <w:t>Ощадбанк</w:t>
            </w:r>
            <w:r w:rsidR="00352081">
              <w:rPr>
                <w:rStyle w:val="rvts9"/>
                <w:b/>
                <w:bCs/>
                <w:sz w:val="28"/>
                <w:szCs w:val="28"/>
              </w:rPr>
              <w:t>»</w:t>
            </w:r>
            <w:r w:rsidRPr="007B0A3E">
              <w:rPr>
                <w:rStyle w:val="rvts9"/>
                <w:b/>
                <w:bCs/>
                <w:sz w:val="28"/>
                <w:szCs w:val="28"/>
              </w:rPr>
              <w:t xml:space="preserve"> правопорушення визначаються нормативно-правовими актами Фонду.</w:t>
            </w:r>
          </w:p>
          <w:p w:rsidR="003A30AE" w:rsidRPr="007B0A3E" w:rsidRDefault="003A30AE" w:rsidP="007B0A3E">
            <w:pPr>
              <w:ind w:firstLine="448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A30AE" w:rsidRPr="007B0A3E" w:rsidRDefault="0025195B" w:rsidP="00A06771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7B0A3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               </w:t>
      </w:r>
    </w:p>
    <w:p w:rsidR="003A30AE" w:rsidRPr="007B0A3E" w:rsidRDefault="003A30AE" w:rsidP="00A06771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A30AE" w:rsidRPr="007B0A3E" w:rsidRDefault="003A30AE" w:rsidP="00A06771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5195B" w:rsidRPr="007B0A3E" w:rsidRDefault="0025195B" w:rsidP="00A06771">
      <w:pPr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B0A3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Міністр фінансів України                                                                                         </w:t>
      </w:r>
      <w:r w:rsidR="003A30AE" w:rsidRPr="007B0A3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             </w:t>
      </w:r>
      <w:r w:rsidRPr="007B0A3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Сергій МАРЧЕНКО</w:t>
      </w:r>
    </w:p>
    <w:sectPr w:rsidR="0025195B" w:rsidRPr="007B0A3E" w:rsidSect="003A30AE">
      <w:footerReference w:type="default" r:id="rId8"/>
      <w:pgSz w:w="16838" w:h="11906" w:orient="landscape"/>
      <w:pgMar w:top="851" w:right="851" w:bottom="155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7E0" w:rsidRDefault="00C947E0" w:rsidP="00D12025">
      <w:r>
        <w:separator/>
      </w:r>
    </w:p>
  </w:endnote>
  <w:endnote w:type="continuationSeparator" w:id="0">
    <w:p w:rsidR="00C947E0" w:rsidRDefault="00C947E0" w:rsidP="00D1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0690235"/>
      <w:docPartObj>
        <w:docPartGallery w:val="Page Numbers (Bottom of Page)"/>
        <w:docPartUnique/>
      </w:docPartObj>
    </w:sdtPr>
    <w:sdtEndPr/>
    <w:sdtContent>
      <w:p w:rsidR="00EE2A25" w:rsidRDefault="00EE2A25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A03">
          <w:rPr>
            <w:noProof/>
          </w:rPr>
          <w:t>4</w:t>
        </w:r>
        <w:r>
          <w:fldChar w:fldCharType="end"/>
        </w:r>
      </w:p>
    </w:sdtContent>
  </w:sdt>
  <w:p w:rsidR="00EE2A25" w:rsidRDefault="00EE2A2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7E0" w:rsidRDefault="00C947E0" w:rsidP="00D12025">
      <w:r>
        <w:separator/>
      </w:r>
    </w:p>
  </w:footnote>
  <w:footnote w:type="continuationSeparator" w:id="0">
    <w:p w:rsidR="00C947E0" w:rsidRDefault="00C947E0" w:rsidP="00D12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0F2A"/>
    <w:multiLevelType w:val="hybridMultilevel"/>
    <w:tmpl w:val="A6D00C0A"/>
    <w:lvl w:ilvl="0" w:tplc="288E151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921719B"/>
    <w:multiLevelType w:val="hybridMultilevel"/>
    <w:tmpl w:val="0C22FA2C"/>
    <w:lvl w:ilvl="0" w:tplc="4524E948">
      <w:start w:val="1"/>
      <w:numFmt w:val="decimal"/>
      <w:lvlText w:val="%1)"/>
      <w:lvlJc w:val="left"/>
      <w:pPr>
        <w:ind w:left="81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3" w:hanging="180"/>
      </w:pPr>
      <w:rPr>
        <w:rFonts w:cs="Times New Roman"/>
      </w:rPr>
    </w:lvl>
  </w:abstractNum>
  <w:abstractNum w:abstractNumId="2" w15:restartNumberingAfterBreak="0">
    <w:nsid w:val="0EA033E2"/>
    <w:multiLevelType w:val="hybridMultilevel"/>
    <w:tmpl w:val="6BFAB348"/>
    <w:lvl w:ilvl="0" w:tplc="0422000F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40E59"/>
    <w:multiLevelType w:val="hybridMultilevel"/>
    <w:tmpl w:val="01DA5BD2"/>
    <w:lvl w:ilvl="0" w:tplc="10D05DC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71445B"/>
    <w:multiLevelType w:val="hybridMultilevel"/>
    <w:tmpl w:val="BF84DABA"/>
    <w:lvl w:ilvl="0" w:tplc="3A0C4ACA">
      <w:start w:val="1"/>
      <w:numFmt w:val="decimal"/>
      <w:lvlText w:val="%1)"/>
      <w:lvlJc w:val="left"/>
      <w:pPr>
        <w:ind w:left="1934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639" w:hanging="360"/>
      </w:pPr>
    </w:lvl>
    <w:lvl w:ilvl="2" w:tplc="0422001B" w:tentative="1">
      <w:start w:val="1"/>
      <w:numFmt w:val="lowerRoman"/>
      <w:lvlText w:val="%3."/>
      <w:lvlJc w:val="right"/>
      <w:pPr>
        <w:ind w:left="3359" w:hanging="180"/>
      </w:pPr>
    </w:lvl>
    <w:lvl w:ilvl="3" w:tplc="0422000F" w:tentative="1">
      <w:start w:val="1"/>
      <w:numFmt w:val="decimal"/>
      <w:lvlText w:val="%4."/>
      <w:lvlJc w:val="left"/>
      <w:pPr>
        <w:ind w:left="4079" w:hanging="360"/>
      </w:pPr>
    </w:lvl>
    <w:lvl w:ilvl="4" w:tplc="04220019" w:tentative="1">
      <w:start w:val="1"/>
      <w:numFmt w:val="lowerLetter"/>
      <w:lvlText w:val="%5."/>
      <w:lvlJc w:val="left"/>
      <w:pPr>
        <w:ind w:left="4799" w:hanging="360"/>
      </w:pPr>
    </w:lvl>
    <w:lvl w:ilvl="5" w:tplc="0422001B" w:tentative="1">
      <w:start w:val="1"/>
      <w:numFmt w:val="lowerRoman"/>
      <w:lvlText w:val="%6."/>
      <w:lvlJc w:val="right"/>
      <w:pPr>
        <w:ind w:left="5519" w:hanging="180"/>
      </w:pPr>
    </w:lvl>
    <w:lvl w:ilvl="6" w:tplc="0422000F" w:tentative="1">
      <w:start w:val="1"/>
      <w:numFmt w:val="decimal"/>
      <w:lvlText w:val="%7."/>
      <w:lvlJc w:val="left"/>
      <w:pPr>
        <w:ind w:left="6239" w:hanging="360"/>
      </w:pPr>
    </w:lvl>
    <w:lvl w:ilvl="7" w:tplc="04220019" w:tentative="1">
      <w:start w:val="1"/>
      <w:numFmt w:val="lowerLetter"/>
      <w:lvlText w:val="%8."/>
      <w:lvlJc w:val="left"/>
      <w:pPr>
        <w:ind w:left="6959" w:hanging="360"/>
      </w:pPr>
    </w:lvl>
    <w:lvl w:ilvl="8" w:tplc="0422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" w15:restartNumberingAfterBreak="0">
    <w:nsid w:val="16934BDF"/>
    <w:multiLevelType w:val="hybridMultilevel"/>
    <w:tmpl w:val="E74E5F12"/>
    <w:lvl w:ilvl="0" w:tplc="B2B07EFA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i w:val="0"/>
        <w:color w:val="C00000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6" w15:restartNumberingAfterBreak="0">
    <w:nsid w:val="1EC94EEF"/>
    <w:multiLevelType w:val="hybridMultilevel"/>
    <w:tmpl w:val="7EAC25FE"/>
    <w:lvl w:ilvl="0" w:tplc="0D10848A">
      <w:start w:val="1"/>
      <w:numFmt w:val="decimal"/>
      <w:lvlText w:val="%1)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281E3025"/>
    <w:multiLevelType w:val="hybridMultilevel"/>
    <w:tmpl w:val="9440D9CE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15819"/>
    <w:multiLevelType w:val="hybridMultilevel"/>
    <w:tmpl w:val="2DE4EC96"/>
    <w:lvl w:ilvl="0" w:tplc="B56EEB1C">
      <w:start w:val="1"/>
      <w:numFmt w:val="decimal"/>
      <w:lvlText w:val="%1)"/>
      <w:lvlJc w:val="left"/>
      <w:pPr>
        <w:ind w:left="81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3" w:hanging="180"/>
      </w:pPr>
      <w:rPr>
        <w:rFonts w:cs="Times New Roman"/>
      </w:rPr>
    </w:lvl>
  </w:abstractNum>
  <w:abstractNum w:abstractNumId="9" w15:restartNumberingAfterBreak="0">
    <w:nsid w:val="36DE15C3"/>
    <w:multiLevelType w:val="hybridMultilevel"/>
    <w:tmpl w:val="49BAC216"/>
    <w:lvl w:ilvl="0" w:tplc="406CE30A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0" w15:restartNumberingAfterBreak="0">
    <w:nsid w:val="409C6879"/>
    <w:multiLevelType w:val="hybridMultilevel"/>
    <w:tmpl w:val="2A1CE854"/>
    <w:lvl w:ilvl="0" w:tplc="6F5CA81C">
      <w:start w:val="1"/>
      <w:numFmt w:val="decimal"/>
      <w:lvlText w:val="%1)"/>
      <w:lvlJc w:val="left"/>
      <w:pPr>
        <w:ind w:left="543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91542"/>
    <w:multiLevelType w:val="hybridMultilevel"/>
    <w:tmpl w:val="A3906688"/>
    <w:lvl w:ilvl="0" w:tplc="85708E4C">
      <w:start w:val="1"/>
      <w:numFmt w:val="decimal"/>
      <w:lvlText w:val="%1)"/>
      <w:lvlJc w:val="left"/>
      <w:pPr>
        <w:ind w:left="3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47" w:hanging="180"/>
      </w:pPr>
      <w:rPr>
        <w:rFonts w:cs="Times New Roman"/>
      </w:rPr>
    </w:lvl>
  </w:abstractNum>
  <w:abstractNum w:abstractNumId="12" w15:restartNumberingAfterBreak="0">
    <w:nsid w:val="58446E79"/>
    <w:multiLevelType w:val="hybridMultilevel"/>
    <w:tmpl w:val="899CA040"/>
    <w:lvl w:ilvl="0" w:tplc="AB44DFA6">
      <w:start w:val="1"/>
      <w:numFmt w:val="decimal"/>
      <w:lvlText w:val="%1)"/>
      <w:lvlJc w:val="left"/>
      <w:pPr>
        <w:ind w:left="5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6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8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0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2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4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6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8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03" w:hanging="180"/>
      </w:pPr>
      <w:rPr>
        <w:rFonts w:cs="Times New Roman"/>
      </w:rPr>
    </w:lvl>
  </w:abstractNum>
  <w:abstractNum w:abstractNumId="13" w15:restartNumberingAfterBreak="0">
    <w:nsid w:val="59D46D13"/>
    <w:multiLevelType w:val="hybridMultilevel"/>
    <w:tmpl w:val="982095FC"/>
    <w:lvl w:ilvl="0" w:tplc="04220011">
      <w:start w:val="1"/>
      <w:numFmt w:val="decimal"/>
      <w:lvlText w:val="%1)"/>
      <w:lvlJc w:val="left"/>
      <w:pPr>
        <w:ind w:left="1040" w:hanging="360"/>
      </w:p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5E8C6F94"/>
    <w:multiLevelType w:val="hybridMultilevel"/>
    <w:tmpl w:val="B80085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374AEA"/>
    <w:multiLevelType w:val="hybridMultilevel"/>
    <w:tmpl w:val="BF303FEC"/>
    <w:lvl w:ilvl="0" w:tplc="95626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D60C8A"/>
    <w:multiLevelType w:val="hybridMultilevel"/>
    <w:tmpl w:val="1A5E044A"/>
    <w:lvl w:ilvl="0" w:tplc="DCFE83A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7" w15:restartNumberingAfterBreak="0">
    <w:nsid w:val="6C0B35A0"/>
    <w:multiLevelType w:val="hybridMultilevel"/>
    <w:tmpl w:val="1F02EF4E"/>
    <w:lvl w:ilvl="0" w:tplc="F718E19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BE18D2"/>
    <w:multiLevelType w:val="hybridMultilevel"/>
    <w:tmpl w:val="40DA66B2"/>
    <w:lvl w:ilvl="0" w:tplc="3722973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DA5537"/>
    <w:multiLevelType w:val="hybridMultilevel"/>
    <w:tmpl w:val="256E611A"/>
    <w:lvl w:ilvl="0" w:tplc="7630A100">
      <w:start w:val="1"/>
      <w:numFmt w:val="decimal"/>
      <w:lvlText w:val="%1)"/>
      <w:lvlJc w:val="left"/>
      <w:pPr>
        <w:ind w:left="813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3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3" w:hanging="180"/>
      </w:pPr>
      <w:rPr>
        <w:rFonts w:cs="Times New Roman"/>
      </w:rPr>
    </w:lvl>
  </w:abstractNum>
  <w:abstractNum w:abstractNumId="20" w15:restartNumberingAfterBreak="0">
    <w:nsid w:val="78037051"/>
    <w:multiLevelType w:val="hybridMultilevel"/>
    <w:tmpl w:val="6CE4C91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81319"/>
    <w:multiLevelType w:val="hybridMultilevel"/>
    <w:tmpl w:val="9440D9CE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12"/>
  </w:num>
  <w:num w:numId="4">
    <w:abstractNumId w:val="19"/>
  </w:num>
  <w:num w:numId="5">
    <w:abstractNumId w:val="9"/>
  </w:num>
  <w:num w:numId="6">
    <w:abstractNumId w:val="6"/>
  </w:num>
  <w:num w:numId="7">
    <w:abstractNumId w:val="4"/>
  </w:num>
  <w:num w:numId="8">
    <w:abstractNumId w:val="10"/>
  </w:num>
  <w:num w:numId="9">
    <w:abstractNumId w:val="1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6"/>
  </w:num>
  <w:num w:numId="13">
    <w:abstractNumId w:val="15"/>
  </w:num>
  <w:num w:numId="14">
    <w:abstractNumId w:val="2"/>
  </w:num>
  <w:num w:numId="15">
    <w:abstractNumId w:val="14"/>
  </w:num>
  <w:num w:numId="16">
    <w:abstractNumId w:val="0"/>
  </w:num>
  <w:num w:numId="17">
    <w:abstractNumId w:val="17"/>
  </w:num>
  <w:num w:numId="18">
    <w:abstractNumId w:val="21"/>
  </w:num>
  <w:num w:numId="19">
    <w:abstractNumId w:val="1"/>
  </w:num>
  <w:num w:numId="20">
    <w:abstractNumId w:val="11"/>
  </w:num>
  <w:num w:numId="21">
    <w:abstractNumId w:val="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36"/>
    <w:rsid w:val="00003027"/>
    <w:rsid w:val="00003225"/>
    <w:rsid w:val="000041F9"/>
    <w:rsid w:val="00005495"/>
    <w:rsid w:val="00014632"/>
    <w:rsid w:val="00031414"/>
    <w:rsid w:val="00033E03"/>
    <w:rsid w:val="0003525B"/>
    <w:rsid w:val="0004232D"/>
    <w:rsid w:val="000611A2"/>
    <w:rsid w:val="0006227C"/>
    <w:rsid w:val="0006275A"/>
    <w:rsid w:val="00065B3A"/>
    <w:rsid w:val="0007751C"/>
    <w:rsid w:val="00082081"/>
    <w:rsid w:val="00082300"/>
    <w:rsid w:val="00084DDD"/>
    <w:rsid w:val="00094816"/>
    <w:rsid w:val="000A0307"/>
    <w:rsid w:val="000A0624"/>
    <w:rsid w:val="000A2C61"/>
    <w:rsid w:val="000A5E8E"/>
    <w:rsid w:val="000B4806"/>
    <w:rsid w:val="000B5F01"/>
    <w:rsid w:val="000B7AEE"/>
    <w:rsid w:val="000E112B"/>
    <w:rsid w:val="000E1993"/>
    <w:rsid w:val="000E2A78"/>
    <w:rsid w:val="000E3E29"/>
    <w:rsid w:val="001038BF"/>
    <w:rsid w:val="00105B4B"/>
    <w:rsid w:val="00106A7B"/>
    <w:rsid w:val="00117D2A"/>
    <w:rsid w:val="00120A70"/>
    <w:rsid w:val="0012217A"/>
    <w:rsid w:val="0012258A"/>
    <w:rsid w:val="00130495"/>
    <w:rsid w:val="00142687"/>
    <w:rsid w:val="00143BFD"/>
    <w:rsid w:val="0014455C"/>
    <w:rsid w:val="0016411A"/>
    <w:rsid w:val="00166459"/>
    <w:rsid w:val="00172574"/>
    <w:rsid w:val="00175A25"/>
    <w:rsid w:val="00181FAF"/>
    <w:rsid w:val="00191B88"/>
    <w:rsid w:val="00195FEA"/>
    <w:rsid w:val="00197639"/>
    <w:rsid w:val="001A1C01"/>
    <w:rsid w:val="001A39B6"/>
    <w:rsid w:val="001A50B6"/>
    <w:rsid w:val="001A5BCB"/>
    <w:rsid w:val="001B0131"/>
    <w:rsid w:val="001B67E7"/>
    <w:rsid w:val="001C27FC"/>
    <w:rsid w:val="001C5340"/>
    <w:rsid w:val="001D0B78"/>
    <w:rsid w:val="001D2274"/>
    <w:rsid w:val="001D4C6C"/>
    <w:rsid w:val="001E7CB6"/>
    <w:rsid w:val="001F265E"/>
    <w:rsid w:val="001F68CD"/>
    <w:rsid w:val="00203DD0"/>
    <w:rsid w:val="002168F5"/>
    <w:rsid w:val="002243D2"/>
    <w:rsid w:val="002463F5"/>
    <w:rsid w:val="0025195B"/>
    <w:rsid w:val="00253FF9"/>
    <w:rsid w:val="00255965"/>
    <w:rsid w:val="00255F9D"/>
    <w:rsid w:val="0025773C"/>
    <w:rsid w:val="00265EDC"/>
    <w:rsid w:val="00265FAB"/>
    <w:rsid w:val="00267897"/>
    <w:rsid w:val="00272B4B"/>
    <w:rsid w:val="00276299"/>
    <w:rsid w:val="00277548"/>
    <w:rsid w:val="00280185"/>
    <w:rsid w:val="00280EDB"/>
    <w:rsid w:val="00281686"/>
    <w:rsid w:val="00283298"/>
    <w:rsid w:val="00285354"/>
    <w:rsid w:val="00287C4F"/>
    <w:rsid w:val="002909DA"/>
    <w:rsid w:val="002911DD"/>
    <w:rsid w:val="002912F2"/>
    <w:rsid w:val="002A40EA"/>
    <w:rsid w:val="002A48E5"/>
    <w:rsid w:val="002C2442"/>
    <w:rsid w:val="002C6BE1"/>
    <w:rsid w:val="002D3995"/>
    <w:rsid w:val="002D3F50"/>
    <w:rsid w:val="002E0B0C"/>
    <w:rsid w:val="002E3EF1"/>
    <w:rsid w:val="002E5C1E"/>
    <w:rsid w:val="002F0E1F"/>
    <w:rsid w:val="002F7010"/>
    <w:rsid w:val="002F775B"/>
    <w:rsid w:val="00301505"/>
    <w:rsid w:val="00305166"/>
    <w:rsid w:val="0031084C"/>
    <w:rsid w:val="00315C4F"/>
    <w:rsid w:val="003169F9"/>
    <w:rsid w:val="00321E5F"/>
    <w:rsid w:val="00327150"/>
    <w:rsid w:val="003329BB"/>
    <w:rsid w:val="00336B20"/>
    <w:rsid w:val="003434FE"/>
    <w:rsid w:val="0034538B"/>
    <w:rsid w:val="003463C5"/>
    <w:rsid w:val="0034773C"/>
    <w:rsid w:val="00352081"/>
    <w:rsid w:val="00354FA0"/>
    <w:rsid w:val="00361050"/>
    <w:rsid w:val="00372594"/>
    <w:rsid w:val="00391378"/>
    <w:rsid w:val="00394FFF"/>
    <w:rsid w:val="003A30AE"/>
    <w:rsid w:val="003A63A8"/>
    <w:rsid w:val="003B4466"/>
    <w:rsid w:val="003B4836"/>
    <w:rsid w:val="003D1F81"/>
    <w:rsid w:val="003D2FCC"/>
    <w:rsid w:val="003D5EF4"/>
    <w:rsid w:val="003E1729"/>
    <w:rsid w:val="004018A1"/>
    <w:rsid w:val="0040602A"/>
    <w:rsid w:val="00422B18"/>
    <w:rsid w:val="00424273"/>
    <w:rsid w:val="0046420B"/>
    <w:rsid w:val="004649DC"/>
    <w:rsid w:val="00465CCA"/>
    <w:rsid w:val="00465F05"/>
    <w:rsid w:val="00472810"/>
    <w:rsid w:val="00476C07"/>
    <w:rsid w:val="00492146"/>
    <w:rsid w:val="0049276D"/>
    <w:rsid w:val="00496433"/>
    <w:rsid w:val="004B0A56"/>
    <w:rsid w:val="004C2392"/>
    <w:rsid w:val="004C331A"/>
    <w:rsid w:val="004C4F10"/>
    <w:rsid w:val="004C6BE7"/>
    <w:rsid w:val="004E2D06"/>
    <w:rsid w:val="0050492B"/>
    <w:rsid w:val="00504F74"/>
    <w:rsid w:val="005129A3"/>
    <w:rsid w:val="005211A6"/>
    <w:rsid w:val="005216A9"/>
    <w:rsid w:val="00522286"/>
    <w:rsid w:val="005224BD"/>
    <w:rsid w:val="005244E2"/>
    <w:rsid w:val="00525ED9"/>
    <w:rsid w:val="00530D0B"/>
    <w:rsid w:val="00547676"/>
    <w:rsid w:val="00550941"/>
    <w:rsid w:val="00551389"/>
    <w:rsid w:val="0055508B"/>
    <w:rsid w:val="00556A60"/>
    <w:rsid w:val="00556F45"/>
    <w:rsid w:val="0056092B"/>
    <w:rsid w:val="005616FE"/>
    <w:rsid w:val="005626B4"/>
    <w:rsid w:val="00563C96"/>
    <w:rsid w:val="00571F62"/>
    <w:rsid w:val="00572879"/>
    <w:rsid w:val="00573CCE"/>
    <w:rsid w:val="0057669D"/>
    <w:rsid w:val="005766AA"/>
    <w:rsid w:val="00577AE4"/>
    <w:rsid w:val="0059473D"/>
    <w:rsid w:val="005A3C66"/>
    <w:rsid w:val="005A42A0"/>
    <w:rsid w:val="005A57F9"/>
    <w:rsid w:val="005B7B4B"/>
    <w:rsid w:val="005D0F44"/>
    <w:rsid w:val="005D1E2F"/>
    <w:rsid w:val="005E23DD"/>
    <w:rsid w:val="005E3DE5"/>
    <w:rsid w:val="005E4FC5"/>
    <w:rsid w:val="005E66C9"/>
    <w:rsid w:val="005F69B8"/>
    <w:rsid w:val="00601C85"/>
    <w:rsid w:val="006139A0"/>
    <w:rsid w:val="00615F85"/>
    <w:rsid w:val="006205CA"/>
    <w:rsid w:val="00623A7B"/>
    <w:rsid w:val="00640214"/>
    <w:rsid w:val="00644D15"/>
    <w:rsid w:val="0065150A"/>
    <w:rsid w:val="006523FA"/>
    <w:rsid w:val="006569D2"/>
    <w:rsid w:val="00667D54"/>
    <w:rsid w:val="006739F6"/>
    <w:rsid w:val="006776F3"/>
    <w:rsid w:val="00682443"/>
    <w:rsid w:val="0068539D"/>
    <w:rsid w:val="00690FF0"/>
    <w:rsid w:val="00692C9C"/>
    <w:rsid w:val="00693BCD"/>
    <w:rsid w:val="00695B6A"/>
    <w:rsid w:val="0069646C"/>
    <w:rsid w:val="006A385E"/>
    <w:rsid w:val="006A46C3"/>
    <w:rsid w:val="006A4B64"/>
    <w:rsid w:val="006B648E"/>
    <w:rsid w:val="006C11D4"/>
    <w:rsid w:val="006C4B41"/>
    <w:rsid w:val="006D5690"/>
    <w:rsid w:val="006E0EC3"/>
    <w:rsid w:val="006E23C3"/>
    <w:rsid w:val="006E4B50"/>
    <w:rsid w:val="006E7F59"/>
    <w:rsid w:val="006F251E"/>
    <w:rsid w:val="006F78E3"/>
    <w:rsid w:val="007028AE"/>
    <w:rsid w:val="00704D0A"/>
    <w:rsid w:val="00711C8F"/>
    <w:rsid w:val="00711DE1"/>
    <w:rsid w:val="00723956"/>
    <w:rsid w:val="00725307"/>
    <w:rsid w:val="007255AC"/>
    <w:rsid w:val="007278FD"/>
    <w:rsid w:val="0073318D"/>
    <w:rsid w:val="0073518C"/>
    <w:rsid w:val="0074633C"/>
    <w:rsid w:val="00754BB3"/>
    <w:rsid w:val="0075711D"/>
    <w:rsid w:val="00761C99"/>
    <w:rsid w:val="00764A14"/>
    <w:rsid w:val="00765CC5"/>
    <w:rsid w:val="007661A7"/>
    <w:rsid w:val="00776426"/>
    <w:rsid w:val="00777048"/>
    <w:rsid w:val="00795266"/>
    <w:rsid w:val="00796640"/>
    <w:rsid w:val="007A00D9"/>
    <w:rsid w:val="007A5E53"/>
    <w:rsid w:val="007B0A3E"/>
    <w:rsid w:val="007B58EC"/>
    <w:rsid w:val="007B5FF2"/>
    <w:rsid w:val="007D68BE"/>
    <w:rsid w:val="007D6B50"/>
    <w:rsid w:val="007D744F"/>
    <w:rsid w:val="007E4506"/>
    <w:rsid w:val="007E6B21"/>
    <w:rsid w:val="007F1FF2"/>
    <w:rsid w:val="007F232F"/>
    <w:rsid w:val="007F2CD6"/>
    <w:rsid w:val="007F36EA"/>
    <w:rsid w:val="007F51C0"/>
    <w:rsid w:val="007F571C"/>
    <w:rsid w:val="00805018"/>
    <w:rsid w:val="008144DC"/>
    <w:rsid w:val="00814F8D"/>
    <w:rsid w:val="008272D7"/>
    <w:rsid w:val="008338D1"/>
    <w:rsid w:val="00842639"/>
    <w:rsid w:val="008443D9"/>
    <w:rsid w:val="00851BEA"/>
    <w:rsid w:val="00854AF2"/>
    <w:rsid w:val="008577DE"/>
    <w:rsid w:val="008651AE"/>
    <w:rsid w:val="00871B5F"/>
    <w:rsid w:val="0088117C"/>
    <w:rsid w:val="008A20EF"/>
    <w:rsid w:val="008A555D"/>
    <w:rsid w:val="008B1449"/>
    <w:rsid w:val="008B24ED"/>
    <w:rsid w:val="008C2F78"/>
    <w:rsid w:val="008E10E1"/>
    <w:rsid w:val="008E319F"/>
    <w:rsid w:val="008E5D3C"/>
    <w:rsid w:val="008F02D1"/>
    <w:rsid w:val="008F1E80"/>
    <w:rsid w:val="008F4382"/>
    <w:rsid w:val="00903968"/>
    <w:rsid w:val="00906C35"/>
    <w:rsid w:val="0091247B"/>
    <w:rsid w:val="0091494C"/>
    <w:rsid w:val="009153F4"/>
    <w:rsid w:val="009254C9"/>
    <w:rsid w:val="009324A1"/>
    <w:rsid w:val="00933705"/>
    <w:rsid w:val="00934F15"/>
    <w:rsid w:val="00935952"/>
    <w:rsid w:val="00952021"/>
    <w:rsid w:val="00952CE6"/>
    <w:rsid w:val="0095607B"/>
    <w:rsid w:val="00957FE7"/>
    <w:rsid w:val="00965162"/>
    <w:rsid w:val="00970701"/>
    <w:rsid w:val="00971BA2"/>
    <w:rsid w:val="00974B2B"/>
    <w:rsid w:val="00982B25"/>
    <w:rsid w:val="00983F27"/>
    <w:rsid w:val="009A4855"/>
    <w:rsid w:val="009B0204"/>
    <w:rsid w:val="009B4E92"/>
    <w:rsid w:val="009C3A03"/>
    <w:rsid w:val="009C5448"/>
    <w:rsid w:val="009C5E7B"/>
    <w:rsid w:val="009C6FF3"/>
    <w:rsid w:val="009E4ECE"/>
    <w:rsid w:val="009F30FD"/>
    <w:rsid w:val="009F3BE7"/>
    <w:rsid w:val="009F3E6A"/>
    <w:rsid w:val="009F530F"/>
    <w:rsid w:val="00A00BAB"/>
    <w:rsid w:val="00A06771"/>
    <w:rsid w:val="00A127AF"/>
    <w:rsid w:val="00A20978"/>
    <w:rsid w:val="00A277FD"/>
    <w:rsid w:val="00A32B29"/>
    <w:rsid w:val="00A42FA1"/>
    <w:rsid w:val="00A43181"/>
    <w:rsid w:val="00A4329B"/>
    <w:rsid w:val="00A6696F"/>
    <w:rsid w:val="00A7146A"/>
    <w:rsid w:val="00A725C5"/>
    <w:rsid w:val="00A75429"/>
    <w:rsid w:val="00A95D26"/>
    <w:rsid w:val="00A968A4"/>
    <w:rsid w:val="00AA7A9F"/>
    <w:rsid w:val="00AB25E6"/>
    <w:rsid w:val="00AB4602"/>
    <w:rsid w:val="00AB5717"/>
    <w:rsid w:val="00AC1CB3"/>
    <w:rsid w:val="00AC31B7"/>
    <w:rsid w:val="00AC5BB7"/>
    <w:rsid w:val="00AC5C3B"/>
    <w:rsid w:val="00AC6512"/>
    <w:rsid w:val="00AE1880"/>
    <w:rsid w:val="00AE4D3A"/>
    <w:rsid w:val="00AF288A"/>
    <w:rsid w:val="00AF3ED5"/>
    <w:rsid w:val="00B071B9"/>
    <w:rsid w:val="00B22972"/>
    <w:rsid w:val="00B25106"/>
    <w:rsid w:val="00B32B11"/>
    <w:rsid w:val="00B40E70"/>
    <w:rsid w:val="00B50CC6"/>
    <w:rsid w:val="00B51EC0"/>
    <w:rsid w:val="00B53C7C"/>
    <w:rsid w:val="00B63D57"/>
    <w:rsid w:val="00B652C5"/>
    <w:rsid w:val="00B705D0"/>
    <w:rsid w:val="00B843F5"/>
    <w:rsid w:val="00B97A38"/>
    <w:rsid w:val="00BA21EB"/>
    <w:rsid w:val="00BA5658"/>
    <w:rsid w:val="00BB47C3"/>
    <w:rsid w:val="00BB752B"/>
    <w:rsid w:val="00BC60A3"/>
    <w:rsid w:val="00BD77CC"/>
    <w:rsid w:val="00BD7FB5"/>
    <w:rsid w:val="00BE7B6A"/>
    <w:rsid w:val="00BF2187"/>
    <w:rsid w:val="00BF28CB"/>
    <w:rsid w:val="00BF6839"/>
    <w:rsid w:val="00C00FE2"/>
    <w:rsid w:val="00C1529E"/>
    <w:rsid w:val="00C21494"/>
    <w:rsid w:val="00C27846"/>
    <w:rsid w:val="00C3661D"/>
    <w:rsid w:val="00C41594"/>
    <w:rsid w:val="00C41CE8"/>
    <w:rsid w:val="00C4455C"/>
    <w:rsid w:val="00C533A9"/>
    <w:rsid w:val="00C60149"/>
    <w:rsid w:val="00C60AF4"/>
    <w:rsid w:val="00C621BC"/>
    <w:rsid w:val="00C63A83"/>
    <w:rsid w:val="00C66E36"/>
    <w:rsid w:val="00C73005"/>
    <w:rsid w:val="00C73AE8"/>
    <w:rsid w:val="00C775FD"/>
    <w:rsid w:val="00C80485"/>
    <w:rsid w:val="00C82D12"/>
    <w:rsid w:val="00C8408F"/>
    <w:rsid w:val="00C853BB"/>
    <w:rsid w:val="00C947E0"/>
    <w:rsid w:val="00CA08EC"/>
    <w:rsid w:val="00CA1F01"/>
    <w:rsid w:val="00CA3FD3"/>
    <w:rsid w:val="00CA465D"/>
    <w:rsid w:val="00CA5D54"/>
    <w:rsid w:val="00CA752E"/>
    <w:rsid w:val="00CB585C"/>
    <w:rsid w:val="00CB7E4A"/>
    <w:rsid w:val="00CC0F1C"/>
    <w:rsid w:val="00CC3BFA"/>
    <w:rsid w:val="00CC5398"/>
    <w:rsid w:val="00CC6A88"/>
    <w:rsid w:val="00CE267F"/>
    <w:rsid w:val="00CE3578"/>
    <w:rsid w:val="00CE366A"/>
    <w:rsid w:val="00CE4906"/>
    <w:rsid w:val="00CE7F2E"/>
    <w:rsid w:val="00CF42E5"/>
    <w:rsid w:val="00D00198"/>
    <w:rsid w:val="00D05F26"/>
    <w:rsid w:val="00D07E6F"/>
    <w:rsid w:val="00D12025"/>
    <w:rsid w:val="00D1549E"/>
    <w:rsid w:val="00D208BE"/>
    <w:rsid w:val="00D22370"/>
    <w:rsid w:val="00D31439"/>
    <w:rsid w:val="00D33458"/>
    <w:rsid w:val="00D406CE"/>
    <w:rsid w:val="00D44336"/>
    <w:rsid w:val="00D540C0"/>
    <w:rsid w:val="00D54EC1"/>
    <w:rsid w:val="00D57DF9"/>
    <w:rsid w:val="00D57FC6"/>
    <w:rsid w:val="00D60DBA"/>
    <w:rsid w:val="00D61845"/>
    <w:rsid w:val="00D70102"/>
    <w:rsid w:val="00D70DC4"/>
    <w:rsid w:val="00D77433"/>
    <w:rsid w:val="00D84ADB"/>
    <w:rsid w:val="00DA0CDA"/>
    <w:rsid w:val="00DA1324"/>
    <w:rsid w:val="00DA2166"/>
    <w:rsid w:val="00DA462B"/>
    <w:rsid w:val="00DA7DE6"/>
    <w:rsid w:val="00DC1AFB"/>
    <w:rsid w:val="00DC7D49"/>
    <w:rsid w:val="00DD2EE1"/>
    <w:rsid w:val="00DF24FD"/>
    <w:rsid w:val="00DF25C8"/>
    <w:rsid w:val="00DF4609"/>
    <w:rsid w:val="00DF48E8"/>
    <w:rsid w:val="00DF4E0C"/>
    <w:rsid w:val="00E017B3"/>
    <w:rsid w:val="00E07081"/>
    <w:rsid w:val="00E10C77"/>
    <w:rsid w:val="00E10D51"/>
    <w:rsid w:val="00E1624C"/>
    <w:rsid w:val="00E1696A"/>
    <w:rsid w:val="00E173C7"/>
    <w:rsid w:val="00E25216"/>
    <w:rsid w:val="00E25863"/>
    <w:rsid w:val="00E25C9F"/>
    <w:rsid w:val="00E269E6"/>
    <w:rsid w:val="00E33346"/>
    <w:rsid w:val="00E33FA4"/>
    <w:rsid w:val="00E36242"/>
    <w:rsid w:val="00E367DB"/>
    <w:rsid w:val="00E459D1"/>
    <w:rsid w:val="00E4691A"/>
    <w:rsid w:val="00E47513"/>
    <w:rsid w:val="00E47A17"/>
    <w:rsid w:val="00E50C94"/>
    <w:rsid w:val="00E57554"/>
    <w:rsid w:val="00E626A2"/>
    <w:rsid w:val="00E63A26"/>
    <w:rsid w:val="00E63CD5"/>
    <w:rsid w:val="00E64C00"/>
    <w:rsid w:val="00E64DEC"/>
    <w:rsid w:val="00E67F93"/>
    <w:rsid w:val="00E70BD2"/>
    <w:rsid w:val="00E72736"/>
    <w:rsid w:val="00E90B6C"/>
    <w:rsid w:val="00E90FDF"/>
    <w:rsid w:val="00E91312"/>
    <w:rsid w:val="00E9384C"/>
    <w:rsid w:val="00E9629A"/>
    <w:rsid w:val="00E96C5A"/>
    <w:rsid w:val="00EA0A19"/>
    <w:rsid w:val="00EA18A9"/>
    <w:rsid w:val="00EA7E46"/>
    <w:rsid w:val="00EB1491"/>
    <w:rsid w:val="00EB1504"/>
    <w:rsid w:val="00EB2CF7"/>
    <w:rsid w:val="00EC3EC4"/>
    <w:rsid w:val="00EC4FFE"/>
    <w:rsid w:val="00EC668E"/>
    <w:rsid w:val="00ED3F5D"/>
    <w:rsid w:val="00ED7298"/>
    <w:rsid w:val="00EE2A25"/>
    <w:rsid w:val="00EE47EC"/>
    <w:rsid w:val="00EE4E84"/>
    <w:rsid w:val="00EE65D7"/>
    <w:rsid w:val="00EF048D"/>
    <w:rsid w:val="00EF34F4"/>
    <w:rsid w:val="00EF3F96"/>
    <w:rsid w:val="00EF5467"/>
    <w:rsid w:val="00EF6EDF"/>
    <w:rsid w:val="00EF7A61"/>
    <w:rsid w:val="00EF7D7A"/>
    <w:rsid w:val="00F101ED"/>
    <w:rsid w:val="00F11B3B"/>
    <w:rsid w:val="00F36546"/>
    <w:rsid w:val="00F4197F"/>
    <w:rsid w:val="00F42A6E"/>
    <w:rsid w:val="00F44F37"/>
    <w:rsid w:val="00F461C8"/>
    <w:rsid w:val="00F564B8"/>
    <w:rsid w:val="00F60C68"/>
    <w:rsid w:val="00F67448"/>
    <w:rsid w:val="00F67806"/>
    <w:rsid w:val="00F67914"/>
    <w:rsid w:val="00F752E2"/>
    <w:rsid w:val="00F81F26"/>
    <w:rsid w:val="00F97196"/>
    <w:rsid w:val="00FA0720"/>
    <w:rsid w:val="00FB4554"/>
    <w:rsid w:val="00FB743D"/>
    <w:rsid w:val="00FC0EDB"/>
    <w:rsid w:val="00FC1F1E"/>
    <w:rsid w:val="00FC4DE2"/>
    <w:rsid w:val="00FD0BBA"/>
    <w:rsid w:val="00FD1F7E"/>
    <w:rsid w:val="00FD2249"/>
    <w:rsid w:val="00FD563F"/>
    <w:rsid w:val="00FD7A04"/>
    <w:rsid w:val="00FE01D7"/>
    <w:rsid w:val="00FE4DD6"/>
    <w:rsid w:val="00FE740D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636CF2-C8CB-434E-8907-B24F3A66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E8"/>
    <w:pPr>
      <w:spacing w:after="0" w:line="240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37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2B25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annotation text"/>
    <w:basedOn w:val="a"/>
    <w:link w:val="a5"/>
    <w:uiPriority w:val="99"/>
    <w:unhideWhenUsed/>
    <w:rsid w:val="00DA7DE6"/>
    <w:pPr>
      <w:spacing w:after="160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rsid w:val="00DA7DE6"/>
    <w:rPr>
      <w:rFonts w:ascii="Calibri" w:eastAsia="Times New Roman" w:hAnsi="Calibri" w:cs="Times New Roman"/>
      <w:sz w:val="20"/>
      <w:szCs w:val="20"/>
    </w:rPr>
  </w:style>
  <w:style w:type="paragraph" w:customStyle="1" w:styleId="rvps2">
    <w:name w:val="rvps2"/>
    <w:basedOn w:val="a"/>
    <w:rsid w:val="00DA7DE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6">
    <w:name w:val="Hyperlink"/>
    <w:basedOn w:val="a0"/>
    <w:uiPriority w:val="99"/>
    <w:unhideWhenUsed/>
    <w:rsid w:val="00DA7DE6"/>
    <w:rPr>
      <w:rFonts w:cs="Times New Roman"/>
      <w:color w:val="0000FF"/>
      <w:u w:val="single"/>
    </w:rPr>
  </w:style>
  <w:style w:type="paragraph" w:styleId="a7">
    <w:name w:val="List Paragraph"/>
    <w:basedOn w:val="a"/>
    <w:link w:val="a8"/>
    <w:uiPriority w:val="34"/>
    <w:qFormat/>
    <w:rsid w:val="00DA7DE6"/>
    <w:pPr>
      <w:ind w:left="720"/>
      <w:contextualSpacing/>
    </w:pPr>
  </w:style>
  <w:style w:type="paragraph" w:styleId="a9">
    <w:name w:val="Body Text"/>
    <w:basedOn w:val="a"/>
    <w:link w:val="aa"/>
    <w:uiPriority w:val="99"/>
    <w:qFormat/>
    <w:rsid w:val="0069646C"/>
    <w:pPr>
      <w:spacing w:after="180" w:line="260" w:lineRule="atLeast"/>
    </w:pPr>
    <w:rPr>
      <w:szCs w:val="28"/>
      <w:lang w:val="en-US" w:eastAsia="zh-CN"/>
    </w:rPr>
  </w:style>
  <w:style w:type="character" w:customStyle="1" w:styleId="aa">
    <w:name w:val="Основний текст Знак"/>
    <w:basedOn w:val="a0"/>
    <w:link w:val="a9"/>
    <w:uiPriority w:val="99"/>
    <w:rsid w:val="0069646C"/>
    <w:rPr>
      <w:rFonts w:ascii="Calibri" w:eastAsia="Times New Roman" w:hAnsi="Calibri" w:cs="Times New Roman"/>
      <w:szCs w:val="28"/>
      <w:lang w:val="en-US" w:eastAsia="zh-CN"/>
    </w:rPr>
  </w:style>
  <w:style w:type="character" w:styleId="ab">
    <w:name w:val="annotation reference"/>
    <w:basedOn w:val="a0"/>
    <w:uiPriority w:val="99"/>
    <w:semiHidden/>
    <w:unhideWhenUsed/>
    <w:rsid w:val="0091494C"/>
    <w:rPr>
      <w:rFonts w:cs="Times New Roman"/>
      <w:sz w:val="16"/>
    </w:rPr>
  </w:style>
  <w:style w:type="character" w:customStyle="1" w:styleId="a8">
    <w:name w:val="Абзац списку Знак"/>
    <w:link w:val="a7"/>
    <w:uiPriority w:val="34"/>
    <w:locked/>
    <w:rsid w:val="0091494C"/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unhideWhenUsed/>
    <w:rsid w:val="0091494C"/>
    <w:rPr>
      <w:rFonts w:ascii="Times New Roman" w:hAnsi="Times New Roman"/>
      <w:sz w:val="24"/>
      <w:szCs w:val="24"/>
      <w:lang w:eastAsia="uk-UA"/>
    </w:rPr>
  </w:style>
  <w:style w:type="paragraph" w:styleId="ad">
    <w:name w:val="No Spacing"/>
    <w:link w:val="ae"/>
    <w:qFormat/>
    <w:rsid w:val="0091494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9">
    <w:name w:val="rvts9"/>
    <w:rsid w:val="0091494C"/>
  </w:style>
  <w:style w:type="character" w:customStyle="1" w:styleId="apple-converted-space">
    <w:name w:val="apple-converted-space"/>
    <w:basedOn w:val="a0"/>
    <w:rsid w:val="0091494C"/>
    <w:rPr>
      <w:rFonts w:cs="Times New Roman"/>
    </w:rPr>
  </w:style>
  <w:style w:type="character" w:styleId="af">
    <w:name w:val="Emphasis"/>
    <w:basedOn w:val="a0"/>
    <w:uiPriority w:val="20"/>
    <w:qFormat/>
    <w:rsid w:val="0091494C"/>
    <w:rPr>
      <w:rFonts w:cs="Times New Roman"/>
      <w:i/>
    </w:rPr>
  </w:style>
  <w:style w:type="character" w:customStyle="1" w:styleId="rvts0">
    <w:name w:val="rvts0"/>
    <w:rsid w:val="00FD0BBA"/>
  </w:style>
  <w:style w:type="character" w:customStyle="1" w:styleId="30">
    <w:name w:val="Заголовок 3 Знак"/>
    <w:basedOn w:val="a0"/>
    <w:link w:val="3"/>
    <w:uiPriority w:val="9"/>
    <w:semiHidden/>
    <w:rsid w:val="00982B25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customStyle="1" w:styleId="rvts23">
    <w:name w:val="rvts23"/>
    <w:rsid w:val="006E4B50"/>
  </w:style>
  <w:style w:type="character" w:styleId="af0">
    <w:name w:val="page number"/>
    <w:basedOn w:val="a0"/>
    <w:uiPriority w:val="99"/>
    <w:rsid w:val="006E4B50"/>
    <w:rPr>
      <w:rFonts w:cs="Times New Roman"/>
    </w:rPr>
  </w:style>
  <w:style w:type="paragraph" w:styleId="af1">
    <w:name w:val="header"/>
    <w:basedOn w:val="a"/>
    <w:link w:val="af2"/>
    <w:uiPriority w:val="99"/>
    <w:unhideWhenUsed/>
    <w:rsid w:val="00D1202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D12025"/>
    <w:rPr>
      <w:rFonts w:ascii="Calibri" w:eastAsia="Times New Roman" w:hAnsi="Calibri" w:cs="Times New Roman"/>
    </w:rPr>
  </w:style>
  <w:style w:type="paragraph" w:styleId="af3">
    <w:name w:val="footer"/>
    <w:basedOn w:val="a"/>
    <w:link w:val="af4"/>
    <w:uiPriority w:val="99"/>
    <w:unhideWhenUsed/>
    <w:rsid w:val="00D1202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D12025"/>
    <w:rPr>
      <w:rFonts w:ascii="Calibri" w:eastAsia="Times New Roman" w:hAnsi="Calibri"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1A5BCB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semiHidden/>
    <w:rsid w:val="001A5BCB"/>
    <w:rPr>
      <w:rFonts w:ascii="Segoe UI" w:eastAsia="Times New Roman" w:hAnsi="Segoe UI" w:cs="Segoe UI"/>
      <w:sz w:val="18"/>
      <w:szCs w:val="18"/>
    </w:rPr>
  </w:style>
  <w:style w:type="character" w:customStyle="1" w:styleId="rvts46">
    <w:name w:val="rvts46"/>
    <w:basedOn w:val="a0"/>
    <w:rsid w:val="00CA1F01"/>
  </w:style>
  <w:style w:type="character" w:customStyle="1" w:styleId="rvts37">
    <w:name w:val="rvts37"/>
    <w:basedOn w:val="a0"/>
    <w:rsid w:val="00725307"/>
  </w:style>
  <w:style w:type="character" w:customStyle="1" w:styleId="rvts11">
    <w:name w:val="rvts11"/>
    <w:basedOn w:val="a0"/>
    <w:rsid w:val="00FE740D"/>
  </w:style>
  <w:style w:type="paragraph" w:styleId="af7">
    <w:name w:val="annotation subject"/>
    <w:basedOn w:val="a4"/>
    <w:next w:val="a4"/>
    <w:link w:val="af8"/>
    <w:uiPriority w:val="99"/>
    <w:semiHidden/>
    <w:unhideWhenUsed/>
    <w:rsid w:val="0031084C"/>
    <w:pPr>
      <w:spacing w:after="200"/>
    </w:pPr>
    <w:rPr>
      <w:b/>
      <w:bCs/>
    </w:rPr>
  </w:style>
  <w:style w:type="character" w:customStyle="1" w:styleId="af8">
    <w:name w:val="Тема примітки Знак"/>
    <w:basedOn w:val="a5"/>
    <w:link w:val="af7"/>
    <w:uiPriority w:val="99"/>
    <w:semiHidden/>
    <w:rsid w:val="0031084C"/>
    <w:rPr>
      <w:rFonts w:ascii="Calibri" w:eastAsia="Times New Roman" w:hAnsi="Calibri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122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2258A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rvts15">
    <w:name w:val="rvts15"/>
    <w:rsid w:val="002E5C1E"/>
  </w:style>
  <w:style w:type="character" w:styleId="af9">
    <w:name w:val="footnote reference"/>
    <w:basedOn w:val="a0"/>
    <w:uiPriority w:val="99"/>
    <w:semiHidden/>
    <w:unhideWhenUsed/>
    <w:rsid w:val="00CA3FD3"/>
    <w:rPr>
      <w:vertAlign w:val="superscript"/>
    </w:rPr>
  </w:style>
  <w:style w:type="character" w:customStyle="1" w:styleId="ae">
    <w:name w:val="Без інтервалів Знак"/>
    <w:basedOn w:val="a0"/>
    <w:link w:val="ad"/>
    <w:rsid w:val="00A06771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337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D438C-FA84-4800-9A1D-35877CBA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3060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NBU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Маковій Анна Олександрівна</dc:creator>
  <cp:lastModifiedBy>ПРОЦАК Ганна Володимирівна</cp:lastModifiedBy>
  <cp:revision>2</cp:revision>
  <cp:lastPrinted>2020-06-04T13:29:00Z</cp:lastPrinted>
  <dcterms:created xsi:type="dcterms:W3CDTF">2021-05-21T07:51:00Z</dcterms:created>
  <dcterms:modified xsi:type="dcterms:W3CDTF">2021-05-21T07:51:00Z</dcterms:modified>
</cp:coreProperties>
</file>