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D3" w:rsidRPr="00A22E98" w:rsidRDefault="00C96237" w:rsidP="00027FB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A22E9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ПОЯСНЮВАЛЬНА ЗАПИСКА</w:t>
      </w:r>
    </w:p>
    <w:p w:rsidR="0004127E" w:rsidRPr="00A22E98" w:rsidRDefault="00C96237" w:rsidP="00027FBD">
      <w:pPr>
        <w:pStyle w:val="aa"/>
        <w:rPr>
          <w:rStyle w:val="submenu-table"/>
          <w:bCs/>
          <w:color w:val="000000"/>
          <w:shd w:val="clear" w:color="auto" w:fill="FFFFFF"/>
        </w:rPr>
      </w:pPr>
      <w:r w:rsidRPr="00A22E98">
        <w:rPr>
          <w:bCs/>
          <w:color w:val="000000"/>
          <w:shd w:val="clear" w:color="auto" w:fill="FFFFFF"/>
        </w:rPr>
        <w:t>до проекту Закону України</w:t>
      </w:r>
      <w:r w:rsidR="00C47ED3" w:rsidRPr="00A22E98">
        <w:rPr>
          <w:bCs/>
          <w:color w:val="000000"/>
          <w:shd w:val="clear" w:color="auto" w:fill="FFFFFF"/>
        </w:rPr>
        <w:t xml:space="preserve"> «</w:t>
      </w:r>
      <w:r w:rsidR="005E61B8" w:rsidRPr="00A22E98">
        <w:t xml:space="preserve">Про внесення змін до Закону України «Про статус ветеранів війни, гарантії їх соціального захисту» щодо вдосконалення правового механізму підтвердження участі в </w:t>
      </w:r>
      <w:r w:rsidR="005E61B8" w:rsidRPr="00A22E98">
        <w:rPr>
          <w:color w:val="000000"/>
          <w:shd w:val="clear" w:color="auto" w:fill="FFFFFF"/>
        </w:rPr>
        <w:t xml:space="preserve">антитерористичної операції учасників добровольчих формувань, що були утворені або </w:t>
      </w:r>
      <w:proofErr w:type="spellStart"/>
      <w:r w:rsidR="005E61B8" w:rsidRPr="00A22E98">
        <w:rPr>
          <w:color w:val="000000"/>
          <w:shd w:val="clear" w:color="auto" w:fill="FFFFFF"/>
        </w:rPr>
        <w:t>самоорганізувалися</w:t>
      </w:r>
      <w:proofErr w:type="spellEnd"/>
      <w:r w:rsidR="005E61B8" w:rsidRPr="00A22E98">
        <w:rPr>
          <w:color w:val="000000"/>
          <w:shd w:val="clear" w:color="auto" w:fill="FFFFFF"/>
        </w:rPr>
        <w:t xml:space="preserve"> для захисту незалежності, суверенітету та територіальної цілісності України</w:t>
      </w:r>
      <w:r w:rsidR="00C47ED3" w:rsidRPr="00A22E98">
        <w:rPr>
          <w:color w:val="000000"/>
        </w:rPr>
        <w:t>»</w:t>
      </w:r>
    </w:p>
    <w:p w:rsidR="001A1DE1" w:rsidRPr="00A22E98" w:rsidRDefault="001A1DE1" w:rsidP="00027FBD">
      <w:pPr>
        <w:shd w:val="clear" w:color="auto" w:fill="FFFFFF"/>
        <w:spacing w:after="0" w:line="240" w:lineRule="auto"/>
        <w:ind w:firstLine="709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056A24" w:rsidRPr="00A22E98" w:rsidRDefault="00056A24" w:rsidP="00027FBD">
      <w:pPr>
        <w:shd w:val="clear" w:color="auto" w:fill="FFFFFF"/>
        <w:spacing w:after="0" w:line="240" w:lineRule="auto"/>
        <w:ind w:firstLine="709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A15FC" w:rsidRPr="00A22E98" w:rsidRDefault="002A15FC" w:rsidP="00027FBD">
      <w:pPr>
        <w:shd w:val="clear" w:color="auto" w:fill="FFFFFF"/>
        <w:spacing w:after="0" w:line="240" w:lineRule="auto"/>
        <w:ind w:firstLine="709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F12EEE" w:rsidRPr="00625982" w:rsidRDefault="00F12EEE" w:rsidP="00625982">
      <w:pPr>
        <w:shd w:val="clear" w:color="auto" w:fill="FFFFFF"/>
        <w:spacing w:after="0" w:line="30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2598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1. Обґрунтування необхідності прийняття </w:t>
      </w:r>
      <w:r w:rsidR="00A516E6" w:rsidRPr="0062598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законопроекту</w:t>
      </w:r>
    </w:p>
    <w:p w:rsidR="00A22E98" w:rsidRPr="00625982" w:rsidRDefault="00FB4330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країні постійно триває вдосконалення правового механізму надання статусу учасника бойових дій, особи з інвалідністю внаслідок війни тощо для 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учасників добровольчих формувань, що були утворені або </w:t>
      </w:r>
      <w:proofErr w:type="spellStart"/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самоорганізувалися</w:t>
      </w:r>
      <w:proofErr w:type="spellEnd"/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для захисту незалежності, суверенітету та територіальної цілісності України під час зупинення агресії в рамках антитерористичної операції</w:t>
      </w:r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а також надання відповідного статусу членам їхніх сімей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Незважаючи на це, цей механізм і надалі містить окремі огріхи, які не дозволяють належним чином захистити права даної категорії захисників України.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Зокрема, чинним Законом України «Про статус ветеранів війни, гарантії їх соціального захисту» передбачено в окремих випадках можливість добровольцям надати для підтвердження їхнього права отримати статус учасника бойових дій свідчення трьох осіб, яким вже встановлено статус учасника бойових дій. Проте, </w:t>
      </w:r>
      <w:r w:rsidR="00FB4330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передбачене обмеження, що 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це можуть бути лише </w:t>
      </w:r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військовослужбовці (резервісти, військовозобов’язані) офіційних збройних формувань.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Таким чином, права підтверджувати участь особи в захисті України безпідставно позбавлені власники статусу учасника бойових дій - учасники добровольчих формувань, які без вагань встали на захист нашої країни, проте з тих чи інших підстав не потрапили до складу офіційних збройних формувань України.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Законопроект дозволить усунути згадану дискримінацію добровольців, які отримали статус учасника бойових дій, як учасники добров</w:t>
      </w:r>
      <w:r w:rsidR="00FB4330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о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ль</w:t>
      </w:r>
      <w:r w:rsidR="00FB4330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ч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их формувань, а також полегшить отримання згаданого статусу </w:t>
      </w:r>
      <w:r w:rsidR="00FB4330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для 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інши</w:t>
      </w:r>
      <w:r w:rsidR="00FB4330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х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учасник</w:t>
      </w:r>
      <w:r w:rsidR="00FB4330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ів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добров</w:t>
      </w:r>
      <w:r w:rsidR="00FB4330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о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ль</w:t>
      </w:r>
      <w:r w:rsidR="00FB4330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ч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их формувань, які можуть не мати свідків своєї участі в </w:t>
      </w:r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антитерористичній операції серед військовослужбовців (резервістів, військовозобов’язаних) офіційних збройних формувань.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Переконані, що такий крок стане надзвичайно важливим визнанням учасників добровольчих формувань, оскільки вага їхнього внеску в захист України у порівнянні із захисниками України із офіційних збройних формувань (Збройні Сили України, Національна гвардія тощо) однакова, якщо не більша, адже добровольці йшли на війну за покликом серця, а не змушені посадовими обов’язками.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Також обмеженим і нерозвинутим залишається законодавчий механізм подання клопотання щодо отримання відповідного статусу </w:t>
      </w:r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особами, які отримали інвалідність внаслідок війни, та членами сімей учасників добровольчих формувань, що 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загинули (пропали безвісти), померли в антитерористичній операції.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Чинне законодавство позбавляє вказані категорії осіб іншої можливості отримання відповідного статусу, окрім як в результаті клопотання </w:t>
      </w:r>
      <w:r w:rsidRPr="006259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керівника добровольчого формування, до складу якого входила особа, яка претендує на отримання статусу особи з інвалідністю внаслідок війни, або особа, яка загинула (пропала безвісти) чи померла.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Проте, це реально є неможливим, наприклад, у випадку, якщо керівник добровольчого формування сам виявиться </w:t>
      </w:r>
      <w:r w:rsidRPr="006259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особою, яка загинула (пропала безвісти) чи померла.</w:t>
      </w:r>
      <w:r w:rsidR="00FB4330" w:rsidRPr="006259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59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Також, цей законодавчий припис створює значний </w:t>
      </w:r>
      <w:proofErr w:type="spellStart"/>
      <w:r w:rsidRPr="006259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корупціогенний</w:t>
      </w:r>
      <w:proofErr w:type="spellEnd"/>
      <w:r w:rsidRPr="006259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або суб’єктивний фактор.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При цьому, як вже вказувалося вище, 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чинним Законом України «Про статус ветеранів війни, гарантії їх соціального захисту» передбачено в окремих випадках можливість добровольцям надати для підтвердження їхнього права отримати статус учасника бойових дій свідчення трьох осіб, яким вже встановлено статус учасника бойових дій.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 огляду на таку недосконалість чинного законодавства, даним законопроектом пропонується надати альтернативну можливість </w:t>
      </w:r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особам, які отримали інвалідність внаслідок війни, та членам сімей учасників добровольчих формувань, що 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загинули (пропали безвісти), померли в антитерористичній операції, самостійно подавати для отримання відповідного статусу клопотання, обов’язково підтверджен</w:t>
      </w:r>
      <w:r w:rsidR="00FB4330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е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свідченнями трьох (у окремих випадках двох) осіб, які вже отримали статус учасника бойових дій.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Переконані, що це буде логічним та обґрунтованим кроком головного законодавчого органу країни.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Також статус члена сім’ї учасника бойових дій пропонується поширити на членів сім’ї добровольців, яким нещодавно окремим законом було надано право на отримання статусу учасника бойових дій за перебування в складі добровольчого формування в зоні проведення антитерористичної операції протягом в сукупності 30 днів.</w:t>
      </w:r>
    </w:p>
    <w:p w:rsidR="00A22E98" w:rsidRPr="00625982" w:rsidRDefault="00A22E98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Це виглядає логічним з огляду на те, що законотворець надав відповідне право цій категорії захисників України, проте не передбачив відповідного права для членів їхніх сімей.</w:t>
      </w:r>
    </w:p>
    <w:p w:rsidR="001A1DE1" w:rsidRPr="00625982" w:rsidRDefault="00A22E98" w:rsidP="00625982">
      <w:pPr>
        <w:pStyle w:val="rvps2"/>
        <w:shd w:val="clear" w:color="auto" w:fill="FFFFFF"/>
        <w:spacing w:before="0" w:beforeAutospacing="0" w:after="0" w:afterAutospacing="0" w:line="300" w:lineRule="auto"/>
        <w:ind w:firstLine="709"/>
        <w:jc w:val="both"/>
        <w:rPr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625982">
        <w:rPr>
          <w:color w:val="000000" w:themeColor="text1"/>
          <w:sz w:val="28"/>
          <w:szCs w:val="28"/>
        </w:rPr>
        <w:t xml:space="preserve">Переконані, що прийняття даного законопроекту дозволить вдосконалити правовий механізм надання статусу учасника бойових дій, особи з інвалідністю внаслідок війни тощо для </w:t>
      </w:r>
      <w:r w:rsidRPr="00625982">
        <w:rPr>
          <w:color w:val="000000" w:themeColor="text1"/>
          <w:sz w:val="28"/>
          <w:szCs w:val="28"/>
          <w:shd w:val="clear" w:color="auto" w:fill="FFFFFF"/>
        </w:rPr>
        <w:t xml:space="preserve">учасників добровольчих формувань, що були утворені або </w:t>
      </w:r>
      <w:proofErr w:type="spellStart"/>
      <w:r w:rsidRPr="00625982">
        <w:rPr>
          <w:color w:val="000000" w:themeColor="text1"/>
          <w:sz w:val="28"/>
          <w:szCs w:val="28"/>
          <w:shd w:val="clear" w:color="auto" w:fill="FFFFFF"/>
        </w:rPr>
        <w:t>самоорганізувалися</w:t>
      </w:r>
      <w:proofErr w:type="spellEnd"/>
      <w:r w:rsidRPr="00625982">
        <w:rPr>
          <w:color w:val="000000" w:themeColor="text1"/>
          <w:sz w:val="28"/>
          <w:szCs w:val="28"/>
          <w:shd w:val="clear" w:color="auto" w:fill="FFFFFF"/>
        </w:rPr>
        <w:t xml:space="preserve"> для захисту незалежності, суверенітету та територіальної цілісності України під час зупинення агресії в рамках антитерористичної операції, а також сприятиме покращенню </w:t>
      </w:r>
      <w:r w:rsidRPr="00625982">
        <w:rPr>
          <w:color w:val="000000" w:themeColor="text1"/>
          <w:sz w:val="28"/>
          <w:szCs w:val="28"/>
        </w:rPr>
        <w:t>соціального захисту членів сім’ї добровольців, що загинули, пропали безвісти або померли, захищаючи Україну, добровольчі формування яких не ввійшли до складу офіційних збройних формувань України.</w:t>
      </w:r>
    </w:p>
    <w:p w:rsidR="0052488A" w:rsidRPr="00625982" w:rsidRDefault="0052488A" w:rsidP="00625982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86B7C" w:rsidRPr="00625982" w:rsidRDefault="00786B7C" w:rsidP="00625982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934DF" w:rsidRPr="00625982" w:rsidRDefault="000934DF" w:rsidP="00625982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62598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2. </w:t>
      </w:r>
      <w:r w:rsidR="00E87119" w:rsidRPr="00625982"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Мета</w:t>
      </w:r>
      <w:r w:rsidR="00DA2116" w:rsidRPr="00625982"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законопроекту</w:t>
      </w:r>
    </w:p>
    <w:p w:rsidR="00572966" w:rsidRPr="00625982" w:rsidRDefault="00E87119" w:rsidP="00625982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/>
          <w:sz w:val="28"/>
          <w:szCs w:val="28"/>
          <w:lang w:val="uk-UA"/>
        </w:rPr>
        <w:t>Метою законопроекту є з</w:t>
      </w:r>
      <w:r w:rsidR="00F12EEE" w:rsidRPr="00625982">
        <w:rPr>
          <w:rFonts w:ascii="Times New Roman" w:hAnsi="Times New Roman"/>
          <w:color w:val="000000"/>
          <w:sz w:val="28"/>
          <w:szCs w:val="28"/>
          <w:lang w:val="uk-UA"/>
        </w:rPr>
        <w:t xml:space="preserve">аконодавче </w:t>
      </w:r>
      <w:r w:rsidR="00B45FD0" w:rsidRPr="00625982">
        <w:rPr>
          <w:rFonts w:ascii="Times New Roman" w:hAnsi="Times New Roman"/>
          <w:sz w:val="28"/>
          <w:szCs w:val="28"/>
          <w:lang w:val="uk-UA"/>
        </w:rPr>
        <w:t xml:space="preserve">вдосконалення правового механізму 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надання статусу учасника бойових дій, особи з інвалідністю внаслідок війни тощо для 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учасників добровольчих формувань, що були утворені або </w:t>
      </w:r>
      <w:proofErr w:type="spellStart"/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самоорганізувалися</w:t>
      </w:r>
      <w:proofErr w:type="spellEnd"/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для захисту незалежності, суверенітету та територіальної цілісності України під час зупинення агресії в рамках антитерористичної операції, а також сприятиме покращенню 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соціального захисту членів сім’ї добровольців, що загинули, пропали безвісти або померли, захищаючи Україну, добровольчі формування яких не ввійшли до складу офіційних збройних формувань України.</w:t>
      </w:r>
    </w:p>
    <w:p w:rsidR="00A22E98" w:rsidRPr="00625982" w:rsidRDefault="00A22E98" w:rsidP="00625982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77685" w:rsidRPr="00625982" w:rsidRDefault="00777685" w:rsidP="00625982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47BA2" w:rsidRPr="00625982" w:rsidRDefault="00247BA2" w:rsidP="00625982">
      <w:pPr>
        <w:spacing w:after="0" w:line="30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25982">
        <w:rPr>
          <w:rFonts w:ascii="Times New Roman" w:hAnsi="Times New Roman"/>
          <w:b/>
          <w:color w:val="000000"/>
          <w:sz w:val="28"/>
          <w:szCs w:val="28"/>
          <w:lang w:val="uk-UA"/>
        </w:rPr>
        <w:t>3. Загальна характеристика і основні положення проекту</w:t>
      </w:r>
    </w:p>
    <w:p w:rsidR="00C765FB" w:rsidRPr="00625982" w:rsidRDefault="00247BA2" w:rsidP="00625982">
      <w:pPr>
        <w:spacing w:after="0" w:line="30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625982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досягнення мети законопроекту пропонується </w:t>
      </w:r>
      <w:proofErr w:type="spellStart"/>
      <w:r w:rsidR="00B45FD0" w:rsidRPr="00625982">
        <w:rPr>
          <w:rFonts w:ascii="Times New Roman" w:hAnsi="Times New Roman"/>
          <w:color w:val="000000"/>
          <w:sz w:val="28"/>
          <w:szCs w:val="28"/>
          <w:lang w:val="uk-UA"/>
        </w:rPr>
        <w:t>внести</w:t>
      </w:r>
      <w:proofErr w:type="spellEnd"/>
      <w:r w:rsidR="00B45FD0" w:rsidRPr="00625982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відповідні зміни до статей 6, 7 і 10 Закону України «</w:t>
      </w:r>
      <w:r w:rsidR="00B45FD0" w:rsidRPr="00625982">
        <w:rPr>
          <w:rFonts w:ascii="Times New Roman" w:hAnsi="Times New Roman"/>
          <w:sz w:val="28"/>
          <w:szCs w:val="28"/>
          <w:lang w:val="uk-UA"/>
        </w:rPr>
        <w:t>Про статус ветеранів війни, гарантії їх соціального захисту</w:t>
      </w:r>
      <w:r w:rsidR="00B45FD0" w:rsidRPr="00625982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B45FD0" w:rsidRPr="0062598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25982" w:rsidRPr="00625982" w:rsidRDefault="00625982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Законопроект передбачає надання права підтверджувати участь особи в захисті України з метою отримання статусу учасника бойових дій особам, які вже отримали статус учасника бойових дій і належать до учасників добровольчих формувань, що були утворені або </w:t>
      </w:r>
      <w:proofErr w:type="spellStart"/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самоорганізувалися</w:t>
      </w:r>
      <w:proofErr w:type="spellEnd"/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для захисту незалежності, суверенітету та територіальної цілісності України під час зупинення агресії в рамках антитерористичної операції, проте з тих чи інших підстав не потрапили до складу офіційних збройних формувань України.</w:t>
      </w:r>
    </w:p>
    <w:p w:rsidR="00625982" w:rsidRPr="00625982" w:rsidRDefault="00625982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Також пропонується надати альтернативну можливість </w:t>
      </w:r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особам, які отримали інвалідність внаслідок війни, та членам сімей учасників добровольчих формувань, що 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загинули (пропали безвісти), померли в антитерористичній операції, самостійно подавати для отримання відповідного статусу клопотання, обов’язково підтверджене свідченнями трьох (у окремих випадках двох) осіб, які вже отримали статус учасника бойових дій.</w:t>
      </w:r>
    </w:p>
    <w:p w:rsidR="00625982" w:rsidRPr="00625982" w:rsidRDefault="00625982" w:rsidP="00625982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Окрім цього, статус члена сім’ї учасника бойових дій пропонується поширити на членів сім’ї </w:t>
      </w:r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учасників добровольчих формувань, що були утворені або </w:t>
      </w:r>
      <w:proofErr w:type="spellStart"/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самоорганізувалися</w:t>
      </w:r>
      <w:proofErr w:type="spellEnd"/>
      <w:r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для захисту незалежності, суверенітету та територіальної цілісності України під час зупинення агресії в рамках антитерористичної операції, проте з тих чи інших підстав не потрапили до складу офіційних збройних формувань України, за умови, що такі особи </w:t>
      </w:r>
      <w:r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перебували в складі відповідного добровольчого формування в зоні проведення антитерористичної операції протягом в сукупності 30 днів.</w:t>
      </w:r>
    </w:p>
    <w:p w:rsidR="009D751B" w:rsidRPr="00625982" w:rsidRDefault="009D751B" w:rsidP="00625982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765FB" w:rsidRPr="00625982" w:rsidRDefault="00C765FB" w:rsidP="00625982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416E4C" w:rsidRPr="00625982" w:rsidRDefault="00DA2116" w:rsidP="00625982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625982"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4. </w:t>
      </w:r>
      <w:r w:rsidR="00416E4C" w:rsidRPr="00625982"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Стан нормативно-пра</w:t>
      </w:r>
      <w:r w:rsidRPr="00625982"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вової бази</w:t>
      </w:r>
    </w:p>
    <w:p w:rsidR="00DA2116" w:rsidRPr="00625982" w:rsidRDefault="00DA2116" w:rsidP="00625982">
      <w:pPr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25982">
        <w:rPr>
          <w:rFonts w:ascii="Times New Roman" w:hAnsi="Times New Roman"/>
          <w:color w:val="000000"/>
          <w:sz w:val="28"/>
          <w:szCs w:val="28"/>
          <w:lang w:val="uk-UA"/>
        </w:rPr>
        <w:t xml:space="preserve">Нормативно-правовими актами, що діють у даній сфері правового регулювання, є Конституція України, </w:t>
      </w:r>
      <w:r w:rsidR="00EE1570" w:rsidRPr="00625982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 України </w:t>
      </w:r>
      <w:r w:rsidR="008A3C2E" w:rsidRPr="00625982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5E61B8" w:rsidRPr="00625982">
        <w:rPr>
          <w:rFonts w:ascii="Times New Roman" w:hAnsi="Times New Roman"/>
          <w:sz w:val="28"/>
          <w:szCs w:val="28"/>
          <w:lang w:val="uk-UA"/>
        </w:rPr>
        <w:t>Про статус ветеранів війни, гарантії їх соціального захисту</w:t>
      </w:r>
      <w:r w:rsidR="008A3C2E" w:rsidRPr="00625982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62598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16E4C" w:rsidRPr="00625982" w:rsidRDefault="00DA2116" w:rsidP="00625982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625982">
        <w:rPr>
          <w:rFonts w:ascii="Times New Roman" w:hAnsi="Times New Roman"/>
          <w:color w:val="000000"/>
          <w:sz w:val="28"/>
          <w:szCs w:val="28"/>
          <w:lang w:val="uk-UA"/>
        </w:rPr>
        <w:t>Прийняття та реалізація законопроекту не потребує додаткового внесення змін до інших законів України.</w:t>
      </w:r>
    </w:p>
    <w:p w:rsidR="00993AA0" w:rsidRPr="00625982" w:rsidRDefault="00993AA0" w:rsidP="00625982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625982"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5. Фін</w:t>
      </w:r>
      <w:r w:rsidR="00DA2116" w:rsidRPr="00625982"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ансово-економічне обґрунтування</w:t>
      </w:r>
    </w:p>
    <w:p w:rsidR="00A516E6" w:rsidRPr="00625982" w:rsidRDefault="00A516E6" w:rsidP="00625982">
      <w:pPr>
        <w:shd w:val="clear" w:color="auto" w:fill="FFFFFF"/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25982">
        <w:rPr>
          <w:rFonts w:ascii="Times New Roman" w:eastAsia="MS Mincho" w:hAnsi="Times New Roman"/>
          <w:color w:val="000000"/>
          <w:sz w:val="28"/>
          <w:szCs w:val="28"/>
          <w:lang w:val="uk-UA" w:eastAsia="ja-JP"/>
        </w:rPr>
        <w:t>Проект Закону на момент внесення не потребує додаткових витрат з Державного бюджету України.</w:t>
      </w:r>
    </w:p>
    <w:p w:rsidR="0027221E" w:rsidRPr="00625982" w:rsidRDefault="0027221E" w:rsidP="00625982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7221E" w:rsidRPr="00625982" w:rsidRDefault="0027221E" w:rsidP="00625982">
      <w:pPr>
        <w:shd w:val="clear" w:color="auto" w:fill="FFFFFF"/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B4DD7" w:rsidRPr="00625982" w:rsidRDefault="00993AA0" w:rsidP="00625982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625982"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6. Прогноз соціально-економічних та інших наслідків прийняття </w:t>
      </w:r>
      <w:proofErr w:type="spellStart"/>
      <w:r w:rsidR="00DA2116" w:rsidRPr="00625982">
        <w:rPr>
          <w:rStyle w:val="submenu-tabl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акта</w:t>
      </w:r>
      <w:proofErr w:type="spellEnd"/>
    </w:p>
    <w:p w:rsidR="00056A24" w:rsidRPr="00625982" w:rsidRDefault="007D3F95" w:rsidP="00625982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62598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572966" w:rsidRPr="00625982">
        <w:rPr>
          <w:rFonts w:ascii="Times New Roman" w:hAnsi="Times New Roman"/>
          <w:color w:val="000000"/>
          <w:sz w:val="28"/>
          <w:szCs w:val="28"/>
          <w:lang w:val="uk-UA"/>
        </w:rPr>
        <w:t>аконопроект</w:t>
      </w:r>
      <w:r w:rsidR="005D1986" w:rsidRPr="0062598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72966" w:rsidRPr="00625982">
        <w:rPr>
          <w:rFonts w:ascii="Times New Roman" w:hAnsi="Times New Roman"/>
          <w:color w:val="000000"/>
          <w:sz w:val="28"/>
          <w:szCs w:val="28"/>
          <w:lang w:val="uk-UA"/>
        </w:rPr>
        <w:t xml:space="preserve"> у разі його прийняття</w:t>
      </w:r>
      <w:r w:rsidR="005D1986" w:rsidRPr="0062598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72966" w:rsidRPr="00625982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сприятиме </w:t>
      </w:r>
      <w:r w:rsidR="00056A24" w:rsidRPr="00625982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законодавчому </w:t>
      </w:r>
      <w:r w:rsidR="00B45FD0" w:rsidRPr="00625982">
        <w:rPr>
          <w:rFonts w:ascii="Times New Roman" w:hAnsi="Times New Roman"/>
          <w:sz w:val="28"/>
          <w:szCs w:val="28"/>
          <w:lang w:val="uk-UA"/>
        </w:rPr>
        <w:t xml:space="preserve">вдосконаленню правового механізму 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надання статусу учасника бойових дій, особи з інвалідністю внаслідок війни тощо для 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учасників добровольчих формувань, що були утворені або </w:t>
      </w:r>
      <w:proofErr w:type="spellStart"/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самоорганізувалися</w:t>
      </w:r>
      <w:proofErr w:type="spellEnd"/>
      <w:r w:rsidR="00A22E98" w:rsidRPr="0062598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для захисту незалежності, суверенітету та територіальної цілісності України під час зупинення агресії в рамках антитерористичної операції, а також сприятиме покращенню </w:t>
      </w:r>
      <w:r w:rsidR="00A22E98" w:rsidRPr="00625982">
        <w:rPr>
          <w:rFonts w:ascii="Times New Roman" w:hAnsi="Times New Roman"/>
          <w:color w:val="000000" w:themeColor="text1"/>
          <w:sz w:val="28"/>
          <w:szCs w:val="28"/>
          <w:lang w:val="uk-UA"/>
        </w:rPr>
        <w:t>соціального захисту членів сім’ї добровольців, що загинули, пропали безвісти або померли, захищаючи Україну, добровольчі формування яких не ввійшли до складу офіційних збройних формувань України.</w:t>
      </w:r>
    </w:p>
    <w:p w:rsidR="00572966" w:rsidRDefault="00572966" w:rsidP="0062598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</w:p>
    <w:p w:rsidR="00A22E98" w:rsidRPr="00A22E98" w:rsidRDefault="00A22E98" w:rsidP="0062598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</w:p>
    <w:p w:rsidR="000F259D" w:rsidRPr="00A22E98" w:rsidRDefault="000F259D" w:rsidP="0062598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</w:p>
    <w:p w:rsidR="004315CB" w:rsidRDefault="0048072F" w:rsidP="0062598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A22E98">
        <w:rPr>
          <w:rFonts w:ascii="Times New Roman" w:hAnsi="Times New Roman"/>
          <w:b/>
          <w:color w:val="000000"/>
          <w:spacing w:val="-1"/>
          <w:sz w:val="28"/>
          <w:szCs w:val="28"/>
          <w:lang w:val="uk-UA"/>
        </w:rPr>
        <w:t>Народні депутати України</w:t>
      </w:r>
      <w:r w:rsidR="004315CB" w:rsidRPr="00A22E98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                                                                   </w:t>
      </w:r>
    </w:p>
    <w:p w:rsidR="007D01D6" w:rsidRDefault="007D01D6" w:rsidP="007D01D6">
      <w:pPr>
        <w:spacing w:after="0" w:line="240" w:lineRule="auto"/>
        <w:ind w:firstLine="708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7D01D6" w:rsidRDefault="007D01D6" w:rsidP="007D01D6">
      <w:pPr>
        <w:spacing w:after="0" w:line="240" w:lineRule="auto"/>
        <w:ind w:firstLine="708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Батенко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Т.І.</w:t>
      </w:r>
    </w:p>
    <w:p w:rsidR="007D01D6" w:rsidRDefault="007D01D6" w:rsidP="007D01D6">
      <w:pPr>
        <w:spacing w:after="0" w:line="240" w:lineRule="auto"/>
        <w:ind w:firstLine="708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7D01D6" w:rsidRDefault="007D01D6" w:rsidP="007D01D6">
      <w:pPr>
        <w:spacing w:after="0" w:line="240" w:lineRule="auto"/>
        <w:ind w:firstLine="708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Констанкевич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І.М.</w:t>
      </w:r>
    </w:p>
    <w:p w:rsidR="007D01D6" w:rsidRDefault="007D01D6" w:rsidP="007D01D6">
      <w:pPr>
        <w:spacing w:after="0" w:line="240" w:lineRule="auto"/>
        <w:ind w:firstLine="708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7D01D6" w:rsidRDefault="007D01D6" w:rsidP="007D01D6">
      <w:pPr>
        <w:spacing w:after="0" w:line="240" w:lineRule="auto"/>
        <w:ind w:firstLine="708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Балога В.І.</w:t>
      </w:r>
    </w:p>
    <w:p w:rsidR="007D01D6" w:rsidRPr="007D01D6" w:rsidRDefault="007D01D6" w:rsidP="0062598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8"/>
          <w:lang w:val="uk-UA"/>
        </w:rPr>
      </w:pPr>
    </w:p>
    <w:sectPr w:rsidR="007D01D6" w:rsidRPr="007D01D6" w:rsidSect="008A3C2E">
      <w:headerReference w:type="even" r:id="rId7"/>
      <w:headerReference w:type="default" r:id="rId8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065" w:rsidRDefault="00E36065">
      <w:r>
        <w:separator/>
      </w:r>
    </w:p>
  </w:endnote>
  <w:endnote w:type="continuationSeparator" w:id="0">
    <w:p w:rsidR="00E36065" w:rsidRDefault="00E3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065" w:rsidRDefault="00E36065">
      <w:r>
        <w:separator/>
      </w:r>
    </w:p>
  </w:footnote>
  <w:footnote w:type="continuationSeparator" w:id="0">
    <w:p w:rsidR="00E36065" w:rsidRDefault="00E36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656" w:rsidRDefault="002B4656" w:rsidP="004A5CB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4656" w:rsidRDefault="002B465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656" w:rsidRDefault="002B4656" w:rsidP="004A5CB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01D6">
      <w:rPr>
        <w:rStyle w:val="a9"/>
        <w:noProof/>
      </w:rPr>
      <w:t>5</w:t>
    </w:r>
    <w:r>
      <w:rPr>
        <w:rStyle w:val="a9"/>
      </w:rPr>
      <w:fldChar w:fldCharType="end"/>
    </w:r>
  </w:p>
  <w:p w:rsidR="002B4656" w:rsidRDefault="002B46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4B8"/>
    <w:multiLevelType w:val="multilevel"/>
    <w:tmpl w:val="25521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37"/>
    <w:rsid w:val="00006BBF"/>
    <w:rsid w:val="00027FBD"/>
    <w:rsid w:val="0004127E"/>
    <w:rsid w:val="00056A24"/>
    <w:rsid w:val="000934DF"/>
    <w:rsid w:val="000E5F68"/>
    <w:rsid w:val="000F259D"/>
    <w:rsid w:val="00180FB3"/>
    <w:rsid w:val="00196A3C"/>
    <w:rsid w:val="001A1DE1"/>
    <w:rsid w:val="001C3F6E"/>
    <w:rsid w:val="002019E1"/>
    <w:rsid w:val="00205958"/>
    <w:rsid w:val="00214631"/>
    <w:rsid w:val="00247BA2"/>
    <w:rsid w:val="0027221E"/>
    <w:rsid w:val="00275E1D"/>
    <w:rsid w:val="002A15FC"/>
    <w:rsid w:val="002B4656"/>
    <w:rsid w:val="002C7605"/>
    <w:rsid w:val="002D1A87"/>
    <w:rsid w:val="002D392F"/>
    <w:rsid w:val="002E0ADF"/>
    <w:rsid w:val="002E384A"/>
    <w:rsid w:val="00314716"/>
    <w:rsid w:val="0033551D"/>
    <w:rsid w:val="00353E74"/>
    <w:rsid w:val="0036187B"/>
    <w:rsid w:val="003A1F7C"/>
    <w:rsid w:val="003A4500"/>
    <w:rsid w:val="003B4DD7"/>
    <w:rsid w:val="003C1A5D"/>
    <w:rsid w:val="003F018C"/>
    <w:rsid w:val="0040023C"/>
    <w:rsid w:val="004070B2"/>
    <w:rsid w:val="00416E4C"/>
    <w:rsid w:val="004315CB"/>
    <w:rsid w:val="004627F3"/>
    <w:rsid w:val="0048072F"/>
    <w:rsid w:val="004A5CB0"/>
    <w:rsid w:val="004B4431"/>
    <w:rsid w:val="0052488A"/>
    <w:rsid w:val="00565E39"/>
    <w:rsid w:val="00566A10"/>
    <w:rsid w:val="00572966"/>
    <w:rsid w:val="005848D2"/>
    <w:rsid w:val="00590D06"/>
    <w:rsid w:val="00593F55"/>
    <w:rsid w:val="005D1986"/>
    <w:rsid w:val="005E4D73"/>
    <w:rsid w:val="005E61B8"/>
    <w:rsid w:val="00625982"/>
    <w:rsid w:val="00646D81"/>
    <w:rsid w:val="00680F0C"/>
    <w:rsid w:val="0069468E"/>
    <w:rsid w:val="006F087B"/>
    <w:rsid w:val="006F6401"/>
    <w:rsid w:val="007124EA"/>
    <w:rsid w:val="00777685"/>
    <w:rsid w:val="00781CD8"/>
    <w:rsid w:val="00786B7C"/>
    <w:rsid w:val="00793FDF"/>
    <w:rsid w:val="007A4246"/>
    <w:rsid w:val="007A6DED"/>
    <w:rsid w:val="007D01D6"/>
    <w:rsid w:val="007D3F95"/>
    <w:rsid w:val="007F4E3B"/>
    <w:rsid w:val="00807F67"/>
    <w:rsid w:val="00844B10"/>
    <w:rsid w:val="00855266"/>
    <w:rsid w:val="008A3C2E"/>
    <w:rsid w:val="008A466E"/>
    <w:rsid w:val="008B1737"/>
    <w:rsid w:val="008B4B57"/>
    <w:rsid w:val="00914CDF"/>
    <w:rsid w:val="00935045"/>
    <w:rsid w:val="009459B5"/>
    <w:rsid w:val="00993AA0"/>
    <w:rsid w:val="009C211A"/>
    <w:rsid w:val="009C35F8"/>
    <w:rsid w:val="009D751B"/>
    <w:rsid w:val="009E0729"/>
    <w:rsid w:val="00A22E98"/>
    <w:rsid w:val="00A516E6"/>
    <w:rsid w:val="00A54E87"/>
    <w:rsid w:val="00A61602"/>
    <w:rsid w:val="00A801DC"/>
    <w:rsid w:val="00B04507"/>
    <w:rsid w:val="00B17235"/>
    <w:rsid w:val="00B418CB"/>
    <w:rsid w:val="00B45FD0"/>
    <w:rsid w:val="00B50DC6"/>
    <w:rsid w:val="00B567EA"/>
    <w:rsid w:val="00B56E78"/>
    <w:rsid w:val="00B7367D"/>
    <w:rsid w:val="00B76D4F"/>
    <w:rsid w:val="00B94D5F"/>
    <w:rsid w:val="00BA530A"/>
    <w:rsid w:val="00C47ED3"/>
    <w:rsid w:val="00C62B69"/>
    <w:rsid w:val="00C765FB"/>
    <w:rsid w:val="00C96237"/>
    <w:rsid w:val="00CC4A0C"/>
    <w:rsid w:val="00D148AC"/>
    <w:rsid w:val="00D3207E"/>
    <w:rsid w:val="00D67072"/>
    <w:rsid w:val="00DA2116"/>
    <w:rsid w:val="00DD419C"/>
    <w:rsid w:val="00E321AF"/>
    <w:rsid w:val="00E36065"/>
    <w:rsid w:val="00E55EB1"/>
    <w:rsid w:val="00E63C94"/>
    <w:rsid w:val="00E87119"/>
    <w:rsid w:val="00ED1CD5"/>
    <w:rsid w:val="00EE1570"/>
    <w:rsid w:val="00F12EEE"/>
    <w:rsid w:val="00F17049"/>
    <w:rsid w:val="00F75FA2"/>
    <w:rsid w:val="00FB4330"/>
    <w:rsid w:val="00FD5926"/>
    <w:rsid w:val="00FE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BF6FD9"/>
  <w14:defaultImageDpi w14:val="0"/>
  <w15:docId w15:val="{9FA61F88-F436-40A6-BA1A-82889FBB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A5D"/>
    <w:pPr>
      <w:spacing w:after="200" w:line="276" w:lineRule="auto"/>
    </w:pPr>
    <w:rPr>
      <w:rFonts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C96237"/>
    <w:rPr>
      <w:rFonts w:cs="Times New Roman"/>
    </w:rPr>
  </w:style>
  <w:style w:type="character" w:customStyle="1" w:styleId="submenu-table">
    <w:name w:val="submenu-table"/>
    <w:basedOn w:val="a0"/>
    <w:uiPriority w:val="99"/>
    <w:rsid w:val="00C96237"/>
    <w:rPr>
      <w:rFonts w:cs="Times New Roman"/>
    </w:rPr>
  </w:style>
  <w:style w:type="character" w:styleId="a3">
    <w:name w:val="Hyperlink"/>
    <w:basedOn w:val="a0"/>
    <w:uiPriority w:val="99"/>
    <w:semiHidden/>
    <w:rsid w:val="00196A3C"/>
    <w:rPr>
      <w:rFonts w:cs="Times New Roman"/>
      <w:color w:val="0000FF"/>
      <w:u w:val="single"/>
    </w:rPr>
  </w:style>
  <w:style w:type="character" w:styleId="a4">
    <w:name w:val="Strong"/>
    <w:basedOn w:val="a0"/>
    <w:uiPriority w:val="99"/>
    <w:qFormat/>
    <w:rsid w:val="00196A3C"/>
    <w:rPr>
      <w:rFonts w:cs="Times New Roman"/>
      <w:b/>
      <w:bCs/>
    </w:rPr>
  </w:style>
  <w:style w:type="paragraph" w:styleId="a5">
    <w:name w:val="Normal (Web)"/>
    <w:basedOn w:val="a"/>
    <w:uiPriority w:val="99"/>
    <w:rsid w:val="00201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ED1C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ED1CD5"/>
    <w:rPr>
      <w:rFonts w:ascii="Courier New" w:hAnsi="Courier New" w:cs="Courier New"/>
      <w:sz w:val="20"/>
      <w:szCs w:val="20"/>
    </w:rPr>
  </w:style>
  <w:style w:type="character" w:styleId="a6">
    <w:name w:val="FollowedHyperlink"/>
    <w:basedOn w:val="a0"/>
    <w:uiPriority w:val="99"/>
    <w:semiHidden/>
    <w:rsid w:val="00DD419C"/>
    <w:rPr>
      <w:rFonts w:cs="Times New Roman"/>
      <w:color w:val="800080"/>
      <w:u w:val="single"/>
    </w:rPr>
  </w:style>
  <w:style w:type="paragraph" w:styleId="a7">
    <w:name w:val="header"/>
    <w:basedOn w:val="a"/>
    <w:link w:val="a8"/>
    <w:uiPriority w:val="99"/>
    <w:rsid w:val="002B465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lang w:val="ru-RU" w:eastAsia="ru-RU"/>
    </w:rPr>
  </w:style>
  <w:style w:type="character" w:styleId="a9">
    <w:name w:val="page number"/>
    <w:basedOn w:val="a0"/>
    <w:uiPriority w:val="99"/>
    <w:rsid w:val="002B4656"/>
    <w:rPr>
      <w:rFonts w:cs="Times New Roman"/>
    </w:rPr>
  </w:style>
  <w:style w:type="paragraph" w:customStyle="1" w:styleId="aa">
    <w:name w:val="назва"/>
    <w:basedOn w:val="a"/>
    <w:uiPriority w:val="99"/>
    <w:rsid w:val="002D392F"/>
    <w:pPr>
      <w:spacing w:after="0" w:line="240" w:lineRule="auto"/>
      <w:jc w:val="center"/>
    </w:pPr>
    <w:rPr>
      <w:rFonts w:ascii="Times New Roman" w:hAnsi="Times New Roman"/>
      <w:b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027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1104</Words>
  <Characters>7843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Reanimator Extreme Edition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Yuriy</dc:creator>
  <cp:keywords/>
  <dc:description/>
  <cp:lastModifiedBy>Zeon</cp:lastModifiedBy>
  <cp:revision>3</cp:revision>
  <dcterms:created xsi:type="dcterms:W3CDTF">2020-04-07T16:06:00Z</dcterms:created>
  <dcterms:modified xsi:type="dcterms:W3CDTF">2020-04-08T09:26:00Z</dcterms:modified>
</cp:coreProperties>
</file>