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08F" w:rsidRPr="00F342D7" w:rsidRDefault="0066108F" w:rsidP="0066108F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  <w:r w:rsidRPr="00F342D7">
        <w:rPr>
          <w:b/>
          <w:sz w:val="28"/>
          <w:szCs w:val="28"/>
        </w:rPr>
        <w:t>ПОРІВНЯЛЬНА ТАБЛИЦЯ</w:t>
      </w:r>
    </w:p>
    <w:p w:rsidR="00B0416D" w:rsidRPr="00F342D7" w:rsidRDefault="0066108F" w:rsidP="00970282">
      <w:pPr>
        <w:ind w:left="142"/>
        <w:jc w:val="center"/>
        <w:rPr>
          <w:b/>
          <w:sz w:val="28"/>
          <w:szCs w:val="28"/>
        </w:rPr>
      </w:pPr>
      <w:r w:rsidRPr="00F342D7">
        <w:rPr>
          <w:b/>
          <w:sz w:val="28"/>
          <w:szCs w:val="28"/>
        </w:rPr>
        <w:t xml:space="preserve">до проекту Закону України </w:t>
      </w:r>
      <w:r w:rsidR="00A70B7E" w:rsidRPr="00F342D7">
        <w:rPr>
          <w:b/>
          <w:sz w:val="28"/>
          <w:szCs w:val="28"/>
        </w:rPr>
        <w:t>«</w:t>
      </w:r>
      <w:r w:rsidR="006813F9" w:rsidRPr="00F342D7">
        <w:rPr>
          <w:b/>
          <w:sz w:val="28"/>
          <w:szCs w:val="28"/>
        </w:rPr>
        <w:t>Про внесення змін до</w:t>
      </w:r>
      <w:r w:rsidR="00756FC0" w:rsidRPr="00F342D7">
        <w:rPr>
          <w:b/>
          <w:sz w:val="28"/>
          <w:szCs w:val="28"/>
        </w:rPr>
        <w:t xml:space="preserve"> Бюджетного кодексу України щодо </w:t>
      </w:r>
      <w:r w:rsidR="006C348F" w:rsidRPr="00F342D7">
        <w:rPr>
          <w:b/>
          <w:sz w:val="28"/>
          <w:szCs w:val="28"/>
        </w:rPr>
        <w:t>підвищення</w:t>
      </w:r>
      <w:r w:rsidR="00756FC0" w:rsidRPr="00F342D7">
        <w:rPr>
          <w:b/>
          <w:sz w:val="28"/>
          <w:szCs w:val="28"/>
        </w:rPr>
        <w:t xml:space="preserve"> </w:t>
      </w:r>
      <w:r w:rsidR="0084370F" w:rsidRPr="00F342D7">
        <w:rPr>
          <w:b/>
          <w:sz w:val="28"/>
          <w:szCs w:val="28"/>
        </w:rPr>
        <w:t>доходів місцевих бюджетів</w:t>
      </w:r>
      <w:r w:rsidR="00A70B7E" w:rsidRPr="00F342D7">
        <w:rPr>
          <w:b/>
          <w:sz w:val="28"/>
          <w:szCs w:val="28"/>
        </w:rPr>
        <w:t>»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3"/>
        <w:gridCol w:w="7938"/>
      </w:tblGrid>
      <w:tr w:rsidR="000543F2" w:rsidRPr="00F342D7" w:rsidTr="00E565CA">
        <w:tc>
          <w:tcPr>
            <w:tcW w:w="7873" w:type="dxa"/>
          </w:tcPr>
          <w:p w:rsidR="000543F2" w:rsidRPr="00F342D7" w:rsidRDefault="000543F2" w:rsidP="0046723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F342D7">
              <w:rPr>
                <w:b/>
                <w:color w:val="000000"/>
                <w:sz w:val="28"/>
                <w:szCs w:val="28"/>
              </w:rPr>
              <w:t>Зміст положення (норми) чинного законодавства</w:t>
            </w:r>
          </w:p>
        </w:tc>
        <w:tc>
          <w:tcPr>
            <w:tcW w:w="7938" w:type="dxa"/>
          </w:tcPr>
          <w:p w:rsidR="000543F2" w:rsidRPr="00F342D7" w:rsidRDefault="000543F2" w:rsidP="0046723C">
            <w:pPr>
              <w:ind w:firstLine="284"/>
              <w:jc w:val="center"/>
              <w:rPr>
                <w:b/>
                <w:color w:val="000000"/>
                <w:sz w:val="28"/>
                <w:szCs w:val="28"/>
              </w:rPr>
            </w:pPr>
            <w:r w:rsidRPr="00F342D7">
              <w:rPr>
                <w:b/>
                <w:color w:val="000000"/>
                <w:sz w:val="28"/>
                <w:szCs w:val="28"/>
              </w:rPr>
              <w:t>Зміст відповідного положення проекту акт</w:t>
            </w:r>
            <w:r w:rsidR="004759AA" w:rsidRPr="00F342D7">
              <w:rPr>
                <w:b/>
                <w:color w:val="000000"/>
                <w:sz w:val="28"/>
                <w:szCs w:val="28"/>
              </w:rPr>
              <w:t>у</w:t>
            </w:r>
            <w:r w:rsidRPr="00F342D7">
              <w:rPr>
                <w:b/>
                <w:color w:val="000000"/>
                <w:sz w:val="28"/>
                <w:szCs w:val="28"/>
              </w:rPr>
              <w:t>, що пропонується на заміну</w:t>
            </w:r>
          </w:p>
        </w:tc>
      </w:tr>
      <w:tr w:rsidR="00074B27" w:rsidRPr="00F342D7" w:rsidTr="006C20F0">
        <w:trPr>
          <w:trHeight w:val="70"/>
        </w:trPr>
        <w:tc>
          <w:tcPr>
            <w:tcW w:w="15811" w:type="dxa"/>
            <w:gridSpan w:val="2"/>
          </w:tcPr>
          <w:p w:rsidR="00970282" w:rsidRPr="00F342D7" w:rsidRDefault="00241E9E" w:rsidP="00970282">
            <w:pPr>
              <w:pStyle w:val="ac"/>
              <w:ind w:firstLine="284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Бюджетний кодекс України</w:t>
            </w:r>
          </w:p>
        </w:tc>
      </w:tr>
      <w:tr w:rsidR="00074B27" w:rsidRPr="00F342D7" w:rsidTr="00E565CA">
        <w:trPr>
          <w:trHeight w:val="70"/>
        </w:trPr>
        <w:tc>
          <w:tcPr>
            <w:tcW w:w="7873" w:type="dxa"/>
          </w:tcPr>
          <w:p w:rsidR="00CC0750" w:rsidRPr="00F342D7" w:rsidRDefault="00CC0750" w:rsidP="00CC075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Стаття 29.</w:t>
            </w:r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 Склад доходів Державного бюджету України</w:t>
            </w:r>
          </w:p>
          <w:p w:rsidR="00CC0750" w:rsidRPr="00F342D7" w:rsidRDefault="00CC0750" w:rsidP="00CC075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bookmarkStart w:id="1" w:name="n572"/>
            <w:bookmarkEnd w:id="1"/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1. До доходів Державного бюджету України включаються доходи бюджету, за винятком тих, що згідно із </w:t>
            </w:r>
            <w:hyperlink r:id="rId6" w:anchor="n1015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статтями 64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, </w:t>
            </w:r>
            <w:hyperlink r:id="rId7" w:anchor="n1051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66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, </w:t>
            </w:r>
            <w:hyperlink r:id="rId8" w:anchor="n1096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69</w:t>
              </w:r>
            </w:hyperlink>
            <w:r w:rsidRPr="00F342D7">
              <w:rPr>
                <w:rFonts w:eastAsia="Times New Roman"/>
                <w:sz w:val="28"/>
                <w:szCs w:val="28"/>
                <w:lang w:eastAsia="uk-UA"/>
              </w:rPr>
              <w:t>, </w:t>
            </w:r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69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-1</w:t>
            </w:r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 та </w:t>
            </w:r>
            <w:hyperlink r:id="rId9" w:anchor="n1169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71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 цього Кодексу закріплені за місцевими бюджетами.</w:t>
            </w:r>
          </w:p>
          <w:p w:rsidR="00CC0750" w:rsidRPr="00F342D7" w:rsidRDefault="00CC0750" w:rsidP="00CC075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bookmarkStart w:id="2" w:name="n2062"/>
            <w:bookmarkStart w:id="3" w:name="n573"/>
            <w:bookmarkEnd w:id="2"/>
            <w:bookmarkEnd w:id="3"/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2. До доходів загального фонду Державного бюджету України (з урахуванням особливостей, визначених </w:t>
            </w:r>
            <w:hyperlink r:id="rId10" w:anchor="n2001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пунктом 1 частини другої статті 67</w:t>
              </w:r>
            </w:hyperlink>
            <w:hyperlink r:id="rId11" w:anchor="n2001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-1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 цього Кодексу) належать:</w:t>
            </w:r>
          </w:p>
          <w:p w:rsidR="00CC0750" w:rsidRPr="00F342D7" w:rsidRDefault="00CC0750" w:rsidP="00CC075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bookmarkStart w:id="4" w:name="n1992"/>
            <w:bookmarkStart w:id="5" w:name="n574"/>
            <w:bookmarkEnd w:id="4"/>
            <w:bookmarkEnd w:id="5"/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1) податок на доходи фізичних осіб </w:t>
            </w:r>
            <w:r w:rsidRPr="00F342D7">
              <w:rPr>
                <w:rFonts w:eastAsia="Times New Roman"/>
                <w:b/>
                <w:strike/>
                <w:color w:val="000000"/>
                <w:sz w:val="28"/>
                <w:szCs w:val="28"/>
                <w:lang w:eastAsia="uk-UA"/>
              </w:rPr>
              <w:t>(крім податку, визначеного </w:t>
            </w:r>
            <w:hyperlink r:id="rId12" w:anchor="n2886" w:history="1">
              <w:r w:rsidRPr="00F342D7">
                <w:rPr>
                  <w:rFonts w:eastAsia="Times New Roman"/>
                  <w:b/>
                  <w:strike/>
                  <w:color w:val="000000"/>
                  <w:sz w:val="28"/>
                  <w:szCs w:val="28"/>
                  <w:lang w:eastAsia="uk-UA"/>
                </w:rPr>
                <w:t>пунктом 1</w:t>
              </w:r>
            </w:hyperlink>
            <w:hyperlink r:id="rId13" w:anchor="n2886" w:history="1">
              <w:r w:rsidRPr="00F342D7">
                <w:rPr>
                  <w:rFonts w:eastAsia="Times New Roman"/>
                  <w:b/>
                  <w:strike/>
                  <w:color w:val="000000"/>
                  <w:sz w:val="28"/>
                  <w:szCs w:val="28"/>
                  <w:lang w:eastAsia="uk-UA"/>
                </w:rPr>
                <w:t>-1</w:t>
              </w:r>
            </w:hyperlink>
            <w:r w:rsidRPr="00F342D7">
              <w:rPr>
                <w:rFonts w:eastAsia="Times New Roman"/>
                <w:b/>
                <w:strike/>
                <w:color w:val="000000"/>
                <w:sz w:val="28"/>
                <w:szCs w:val="28"/>
                <w:lang w:eastAsia="uk-UA"/>
              </w:rPr>
              <w:t> цієї частини статті)</w:t>
            </w:r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, що сплачується (перераховується) згідно з </w:t>
            </w:r>
            <w:hyperlink r:id="rId14" w:tgtFrame="_blank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Податковим кодексом України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 у розмірі 25 відсотків на відповідній території України (крім території міст Києва та Севастополя) та у розмірі 60 відсотків - на території міста Києва;</w:t>
            </w:r>
          </w:p>
          <w:p w:rsidR="00CC0750" w:rsidRPr="00F342D7" w:rsidRDefault="00CC0750" w:rsidP="00CC075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bookmarkStart w:id="6" w:name="n2016"/>
            <w:bookmarkStart w:id="7" w:name="n2015"/>
            <w:bookmarkEnd w:id="6"/>
            <w:bookmarkEnd w:id="7"/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1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-1</w:t>
            </w:r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) податок на доходи фізичних осіб від оподаткування пасивних доходів у вигляді процентів на поточний або депозитний (вкладний) банківський рахунок, процентів на вклад (депозит) члена кредитної спілки у кредитній спілці, що сплачується (перераховується) згідно з </w:t>
            </w:r>
            <w:hyperlink r:id="rId15" w:tgtFrame="_blank" w:history="1">
              <w:r w:rsidRPr="00F342D7">
                <w:rPr>
                  <w:rFonts w:eastAsia="Times New Roman"/>
                  <w:color w:val="000000"/>
                  <w:sz w:val="28"/>
                  <w:szCs w:val="28"/>
                  <w:lang w:eastAsia="uk-UA"/>
                </w:rPr>
                <w:t>Податковим кодексом України</w:t>
              </w:r>
            </w:hyperlink>
            <w:r w:rsidRPr="00F342D7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074B27" w:rsidRPr="00F342D7" w:rsidRDefault="004E6501" w:rsidP="00074B27">
            <w:pPr>
              <w:pStyle w:val="ac"/>
              <w:ind w:firstLine="284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7938" w:type="dxa"/>
          </w:tcPr>
          <w:p w:rsidR="00BA6188" w:rsidRPr="00F342D7" w:rsidRDefault="00BA6188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Стаття 29. Склад доходів Державного бюджету України</w:t>
            </w:r>
          </w:p>
          <w:p w:rsidR="00BA6188" w:rsidRPr="00F342D7" w:rsidRDefault="00BA6188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1. До доходів Державного бюджету України включаються доходи бюджету, за винятком тих, що згідно із статтями 64, 66, 69, 69-1 та 71 цього Кодексу закріплені за місцевими бюджетами.</w:t>
            </w:r>
          </w:p>
          <w:p w:rsidR="00BA6188" w:rsidRPr="00F342D7" w:rsidRDefault="00BA6188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2. До доходів загального фонду Державного бюджету України (з урахуванням особливостей, визначених пунктом 1 частини другої статті 67-1 цього Кодексу) належать:</w:t>
            </w:r>
          </w:p>
          <w:p w:rsidR="00BA6188" w:rsidRPr="00F342D7" w:rsidRDefault="00BA6188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1) податок на доходи фізичних осіб</w:t>
            </w:r>
            <w:r w:rsidR="001075B3"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що сплачується (перераховується) згідно з Податковим кодексом України у розмірі 25 відсотків на відповідній території України (крім території міст Києва та Севастополя) та у розмірі 60 відсотків - на території міста Києва;</w:t>
            </w:r>
          </w:p>
          <w:p w:rsidR="00590DCB" w:rsidRPr="00F342D7" w:rsidRDefault="00590DCB" w:rsidP="00BA6188">
            <w:pPr>
              <w:pStyle w:val="ac"/>
              <w:ind w:firstLine="284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80603" w:rsidRPr="00F342D7" w:rsidRDefault="00BA6188" w:rsidP="00BA6188">
            <w:pPr>
              <w:pStyle w:val="ac"/>
              <w:ind w:firstLine="284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Виключити</w:t>
            </w:r>
          </w:p>
        </w:tc>
      </w:tr>
      <w:tr w:rsidR="007B5CF6" w:rsidRPr="00F342D7" w:rsidTr="00E565CA">
        <w:trPr>
          <w:trHeight w:val="70"/>
        </w:trPr>
        <w:tc>
          <w:tcPr>
            <w:tcW w:w="7873" w:type="dxa"/>
          </w:tcPr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Стаття 64. Склад доходів загального фонду бюджетів міст республіканського Автономної Республіки Крим та обласного значення, міст Києва та Севастополя, районних бюджетів, 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бюджетів об’єднаних територіальних громад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1. До доходів загального фонду бюджетів міст республіканського Автономної Республіки Крим та обласного значення, міст Києва та Севастополя, районних бюджетів, бюджетів об’єднаних територіальних громад належать: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1) 60 відсотків податку на доходи фізичних осіб </w:t>
            </w:r>
            <w:r w:rsidRPr="00F342D7">
              <w:rPr>
                <w:rFonts w:eastAsia="Times New Roman"/>
                <w:b/>
                <w:strike/>
                <w:sz w:val="28"/>
                <w:szCs w:val="28"/>
                <w:lang w:eastAsia="uk-UA"/>
              </w:rPr>
              <w:t>(крім податку на доходи фізичних осіб, визначеного пунктом 1-1 частини другої статті 29 цього Кодексу)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, що сплачується (перераховується) згідно з Податковим кодексом України на відповідній території (крім території міст Києва та Севастополя);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1-1) 40 відсотків податку на доходи фізичних осіб </w:t>
            </w:r>
            <w:r w:rsidRPr="00F342D7">
              <w:rPr>
                <w:rFonts w:eastAsia="Times New Roman"/>
                <w:b/>
                <w:strike/>
                <w:sz w:val="28"/>
                <w:szCs w:val="28"/>
                <w:lang w:eastAsia="uk-UA"/>
              </w:rPr>
              <w:t>(крім податку на доходи фізичних осіб, визначеного пунктом 1-1 частини другої статті 29 цього Кодексу)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, що сплачується (перераховується) згідно з Податковим кодексом України на території міста Києва та зараховується до бюджету міста Києва; 100 відсотків податку на доходи фізичних осіб (крім податку на доходи фізичних осіб, визначеного пунктом 1-1 частини другої статті 29 цього Кодексу), що сплачується (перераховується) згідно з Податковим кодексом України на території міста Севастополя та зараховується до бюджету міста Севастополя;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7938" w:type="dxa"/>
          </w:tcPr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 xml:space="preserve">Стаття 64. Склад доходів загального фонду бюджетів міст республіканського Автономної Республіки Крим та обласного значення, міст Києва та Севастополя, районних бюджетів, 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бюджетів об’єднаних територіальних громад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1. До доходів загального фонду бюджетів міст республіканського Автономної Республіки Крим та обласного значення, міст Києва та Севастополя, районних бюджетів, бюджетів об’єднаних територіальних громад належать:</w:t>
            </w:r>
          </w:p>
          <w:p w:rsidR="007B5CF6" w:rsidRPr="00F342D7" w:rsidRDefault="007B5CF6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1) 60 відсотків податку на доходи фізичних осіб,</w:t>
            </w:r>
            <w:r w:rsidR="0084493E" w:rsidRPr="00F342D7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4493E" w:rsidRPr="00F342D7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 що сплачується (перераховується) згідно з Податковим кодексом України на відповідній території (крім території міст Києва та Севастополя);</w:t>
            </w:r>
          </w:p>
          <w:p w:rsidR="00590DCB" w:rsidRPr="00F342D7" w:rsidRDefault="00590DCB" w:rsidP="007B5CF6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</w:p>
          <w:p w:rsidR="007B5CF6" w:rsidRPr="00F342D7" w:rsidRDefault="007B5CF6" w:rsidP="007B5CF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1-1) 40 відсотків податку на доходи фізичних осіб, що сплачується (перераховується) згідно з Податковим кодексом України на території міста Києва та зараховується до бюджету міста Києва; 100 відсотків податку на доходи фізичних осіб (крім податку на доходи фізичних осіб, визначеного пунктом 1-1 частини другої статті 29 цього Кодексу), що сплачується (перераховується) згідно з Податковим кодексом України на території міста Севастополя та зараховується до бюджету міста Севастополя;</w:t>
            </w:r>
          </w:p>
          <w:p w:rsidR="0090082B" w:rsidRPr="00F342D7" w:rsidRDefault="0090082B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7B5CF6" w:rsidRPr="00F342D7" w:rsidRDefault="006D6A35" w:rsidP="00BA6188">
            <w:pPr>
              <w:pStyle w:val="ac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342D7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</w:tr>
      <w:tr w:rsidR="00C62AC9" w:rsidRPr="00F342D7" w:rsidTr="00E565CA">
        <w:trPr>
          <w:trHeight w:val="70"/>
        </w:trPr>
        <w:tc>
          <w:tcPr>
            <w:tcW w:w="7873" w:type="dxa"/>
          </w:tcPr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Стаття 66. Склад доходів загального фонду бюджету Автономної Республіки Крим, обласних бюджетів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1. До доходів загального фонду бюджету Автономної Республіки Крим та обласних бюджетів належать: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1) 15 відсотків податку на доходи фізичних осіб (</w:t>
            </w:r>
            <w:r w:rsidRPr="00F342D7">
              <w:rPr>
                <w:rFonts w:eastAsia="Times New Roman"/>
                <w:b/>
                <w:strike/>
                <w:sz w:val="28"/>
                <w:szCs w:val="28"/>
                <w:lang w:eastAsia="uk-UA"/>
              </w:rPr>
              <w:t xml:space="preserve">крім </w:t>
            </w:r>
            <w:r w:rsidRPr="00F342D7">
              <w:rPr>
                <w:rFonts w:eastAsia="Times New Roman"/>
                <w:b/>
                <w:strike/>
                <w:sz w:val="28"/>
                <w:szCs w:val="28"/>
                <w:lang w:eastAsia="uk-UA"/>
              </w:rPr>
              <w:lastRenderedPageBreak/>
              <w:t>податку, визначеного пунктом 1-1 частини другої статті 29 цього Кодексу)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, що сплачується (перераховується) згідно з Податковим кодексом України на відповідній території;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7938" w:type="dxa"/>
          </w:tcPr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Стаття 66. Склад доходів загального фонду бюджету Автономної Республіки Крим, обласних бюджетів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1. До доходів загального фонду бюджету Автономної Республіки Крим та обласних бюджетів належать: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1) 15 відсотків податку на доходи фізичних осіб</w:t>
            </w:r>
            <w:r w:rsidR="0032799F" w:rsidRPr="00F342D7">
              <w:rPr>
                <w:rFonts w:eastAsia="Times New Roman"/>
                <w:sz w:val="28"/>
                <w:szCs w:val="28"/>
                <w:lang w:eastAsia="uk-UA"/>
              </w:rPr>
              <w:t>,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 що 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сплачується (перераховується) згідно з Податковим кодексом України на відповідній території;</w:t>
            </w:r>
          </w:p>
          <w:p w:rsidR="00C62AC9" w:rsidRPr="00F342D7" w:rsidRDefault="00C62AC9" w:rsidP="00970282">
            <w:pPr>
              <w:pStyle w:val="rvps2"/>
              <w:shd w:val="clear" w:color="auto" w:fill="FFFFFF"/>
              <w:spacing w:before="0" w:beforeAutospacing="0" w:after="0" w:afterAutospacing="0" w:line="259" w:lineRule="auto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</w:tc>
      </w:tr>
      <w:tr w:rsidR="002E4B1F" w:rsidRPr="00F342D7" w:rsidTr="00E565CA">
        <w:trPr>
          <w:trHeight w:val="70"/>
        </w:trPr>
        <w:tc>
          <w:tcPr>
            <w:tcW w:w="7873" w:type="dxa"/>
          </w:tcPr>
          <w:p w:rsidR="004F7899" w:rsidRPr="00F342D7" w:rsidRDefault="004F7899" w:rsidP="004F789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lastRenderedPageBreak/>
              <w:t>Розділ VI.</w:t>
            </w:r>
          </w:p>
          <w:p w:rsidR="004F7899" w:rsidRPr="00F342D7" w:rsidRDefault="004F7899" w:rsidP="009702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ПРИКІНЦЕВІ ТА ПЕРЕХІДНІ ПОЛОЖЕННЯ</w:t>
            </w:r>
          </w:p>
          <w:p w:rsidR="00970282" w:rsidRPr="00F342D7" w:rsidRDefault="00970282" w:rsidP="009702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  <w:p w:rsidR="004F7899" w:rsidRPr="00F342D7" w:rsidRDefault="004F7899" w:rsidP="004F789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12. На період реалізації Закону України "Про порядок проведення реформування системи охорони здоров'я у Вінницькій, Дніпропетровській, Донецькій областях та місті Києві":</w:t>
            </w:r>
          </w:p>
          <w:p w:rsidR="004F7899" w:rsidRPr="00F342D7" w:rsidRDefault="004F7899" w:rsidP="004F789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  <w:p w:rsidR="00546867" w:rsidRPr="00F342D7" w:rsidRDefault="004F7899" w:rsidP="00F050F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 xml:space="preserve">4) податок на доходи фізичних осіб </w:t>
            </w:r>
            <w:r w:rsidRPr="00F342D7">
              <w:rPr>
                <w:rFonts w:eastAsia="Times New Roman"/>
                <w:b/>
                <w:strike/>
                <w:sz w:val="28"/>
                <w:szCs w:val="28"/>
                <w:lang w:eastAsia="uk-UA"/>
              </w:rPr>
              <w:t>(крім податку, визначеного пунктом 1-1 частини другої статті 29 цього Кодексу)</w:t>
            </w: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, що сплачується (перераховується) згідно з Податковим кодексом України на території міст обласного значення пілотних регіонів, як виняток з положень частини другої статті 65 та підпункту 1 частини першої статті 66 цього Кодексу зараховується у розмірі: 50 відсотків - до обласних бюджетів та 50 відсотків - до бюджетів міст обласного значення</w:t>
            </w:r>
          </w:p>
        </w:tc>
        <w:tc>
          <w:tcPr>
            <w:tcW w:w="7938" w:type="dxa"/>
          </w:tcPr>
          <w:p w:rsidR="004F7899" w:rsidRPr="00F342D7" w:rsidRDefault="004F7899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Розділ VI.</w:t>
            </w:r>
          </w:p>
          <w:p w:rsidR="004F7899" w:rsidRPr="00F342D7" w:rsidRDefault="004F7899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ПРИКІНЦЕВІ ТА ПЕРЕХІДНІ ПОЛОЖЕННЯ</w:t>
            </w:r>
          </w:p>
          <w:p w:rsidR="004F7899" w:rsidRPr="00F342D7" w:rsidRDefault="00970282" w:rsidP="00970282">
            <w:pPr>
              <w:pStyle w:val="rvps2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  <w:p w:rsidR="004F7899" w:rsidRPr="00F342D7" w:rsidRDefault="004F7899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12. На період реалізації Закону України "Про порядок проведення реформування системи охорони здоров'я у Вінницькій, Дніпропетровській, Донецькій областях та місті Києві":</w:t>
            </w:r>
          </w:p>
          <w:p w:rsidR="004F7899" w:rsidRPr="00F342D7" w:rsidRDefault="004F7899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  <w:p w:rsidR="002E4B1F" w:rsidRPr="00F342D7" w:rsidRDefault="004F7899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4) податок на доходи фізичних осіб, що сплачується (перераховується) згідно з Податковим кодексом України на території міст обласного значення пілотних регіонів, як виняток з положень частини другої статті 65 та підпункту 1 частини першої статті 66 цього Кодексу зараховується у розмірі: 50 відсотків - до обласних бюджетів та 50 відсотків - до бюджетів міст обласного значення</w:t>
            </w:r>
          </w:p>
          <w:p w:rsidR="00814422" w:rsidRPr="00F342D7" w:rsidRDefault="00F050F4" w:rsidP="00097C8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Fonts w:eastAsia="Times New Roman"/>
                <w:sz w:val="28"/>
                <w:szCs w:val="28"/>
                <w:lang w:eastAsia="uk-UA"/>
              </w:rPr>
            </w:pPr>
            <w:r w:rsidRPr="00F342D7">
              <w:rPr>
                <w:rFonts w:eastAsia="Times New Roman"/>
                <w:sz w:val="28"/>
                <w:szCs w:val="28"/>
                <w:lang w:eastAsia="uk-UA"/>
              </w:rPr>
              <w:t>…</w:t>
            </w:r>
          </w:p>
        </w:tc>
      </w:tr>
    </w:tbl>
    <w:p w:rsidR="007E0EC2" w:rsidRPr="00F342D7" w:rsidRDefault="007E0EC2" w:rsidP="0046723C">
      <w:pPr>
        <w:ind w:firstLine="284"/>
        <w:jc w:val="both"/>
        <w:rPr>
          <w:b/>
          <w:color w:val="000000"/>
          <w:sz w:val="28"/>
          <w:szCs w:val="28"/>
        </w:rPr>
      </w:pPr>
    </w:p>
    <w:p w:rsidR="00E422A8" w:rsidRPr="00F342D7" w:rsidRDefault="00E422A8" w:rsidP="0046723C">
      <w:pPr>
        <w:ind w:firstLine="284"/>
        <w:jc w:val="both"/>
        <w:rPr>
          <w:b/>
          <w:color w:val="333333"/>
          <w:sz w:val="28"/>
          <w:szCs w:val="28"/>
          <w:lang w:eastAsia="ru-RU"/>
        </w:rPr>
      </w:pPr>
      <w:r w:rsidRPr="00F342D7">
        <w:rPr>
          <w:b/>
          <w:color w:val="000000"/>
          <w:sz w:val="28"/>
          <w:szCs w:val="28"/>
          <w:lang w:eastAsia="ru-RU"/>
        </w:rPr>
        <w:t>Народн</w:t>
      </w:r>
      <w:r w:rsidR="006C348F" w:rsidRPr="00F342D7">
        <w:rPr>
          <w:b/>
          <w:color w:val="000000"/>
          <w:sz w:val="28"/>
          <w:szCs w:val="28"/>
          <w:lang w:eastAsia="ru-RU"/>
        </w:rPr>
        <w:t>і</w:t>
      </w:r>
      <w:r w:rsidR="00A6766A" w:rsidRPr="00F342D7">
        <w:rPr>
          <w:b/>
          <w:color w:val="000000"/>
          <w:sz w:val="28"/>
          <w:szCs w:val="28"/>
          <w:lang w:eastAsia="ru-RU"/>
        </w:rPr>
        <w:t xml:space="preserve"> </w:t>
      </w:r>
      <w:r w:rsidRPr="00F342D7">
        <w:rPr>
          <w:b/>
          <w:color w:val="000000"/>
          <w:sz w:val="28"/>
          <w:szCs w:val="28"/>
          <w:lang w:eastAsia="ru-RU"/>
        </w:rPr>
        <w:t>депутат</w:t>
      </w:r>
      <w:r w:rsidR="006C348F" w:rsidRPr="00F342D7">
        <w:rPr>
          <w:b/>
          <w:color w:val="000000"/>
          <w:sz w:val="28"/>
          <w:szCs w:val="28"/>
          <w:lang w:eastAsia="ru-RU"/>
        </w:rPr>
        <w:t>и</w:t>
      </w:r>
      <w:r w:rsidR="00A6766A" w:rsidRPr="00F342D7">
        <w:rPr>
          <w:b/>
          <w:color w:val="000000"/>
          <w:sz w:val="28"/>
          <w:szCs w:val="28"/>
          <w:lang w:eastAsia="ru-RU"/>
        </w:rPr>
        <w:t xml:space="preserve"> </w:t>
      </w:r>
      <w:r w:rsidRPr="00F342D7">
        <w:rPr>
          <w:b/>
          <w:color w:val="000000"/>
          <w:sz w:val="28"/>
          <w:szCs w:val="28"/>
          <w:lang w:eastAsia="ru-RU"/>
        </w:rPr>
        <w:t xml:space="preserve">України                                                                                         </w:t>
      </w:r>
      <w:r w:rsidR="00A6766A" w:rsidRPr="00F342D7">
        <w:rPr>
          <w:b/>
          <w:color w:val="000000"/>
          <w:sz w:val="28"/>
          <w:szCs w:val="28"/>
          <w:lang w:eastAsia="ru-RU"/>
        </w:rPr>
        <w:tab/>
      </w:r>
      <w:r w:rsidR="00A6766A" w:rsidRPr="00F342D7">
        <w:rPr>
          <w:b/>
          <w:color w:val="000000"/>
          <w:sz w:val="28"/>
          <w:szCs w:val="28"/>
          <w:lang w:eastAsia="ru-RU"/>
        </w:rPr>
        <w:tab/>
      </w:r>
      <w:r w:rsidR="00A6766A" w:rsidRPr="00F342D7">
        <w:rPr>
          <w:b/>
          <w:color w:val="000000"/>
          <w:sz w:val="28"/>
          <w:szCs w:val="28"/>
          <w:lang w:eastAsia="ru-RU"/>
        </w:rPr>
        <w:tab/>
      </w:r>
      <w:r w:rsidRPr="00F342D7">
        <w:rPr>
          <w:b/>
          <w:color w:val="000000"/>
          <w:sz w:val="28"/>
          <w:szCs w:val="28"/>
          <w:lang w:eastAsia="ru-RU"/>
        </w:rPr>
        <w:t xml:space="preserve"> </w:t>
      </w:r>
    </w:p>
    <w:p w:rsidR="00087976" w:rsidRPr="00F342D7" w:rsidRDefault="00087976" w:rsidP="0046723C">
      <w:pPr>
        <w:ind w:firstLine="284"/>
        <w:jc w:val="both"/>
        <w:rPr>
          <w:b/>
          <w:color w:val="333333"/>
          <w:sz w:val="28"/>
          <w:szCs w:val="28"/>
          <w:lang w:eastAsia="ru-RU"/>
        </w:rPr>
      </w:pPr>
    </w:p>
    <w:sectPr w:rsidR="00087976" w:rsidRPr="00F342D7" w:rsidSect="00E55F70">
      <w:headerReference w:type="even" r:id="rId16"/>
      <w:headerReference w:type="default" r:id="rId17"/>
      <w:pgSz w:w="16838" w:h="11906" w:orient="landscape"/>
      <w:pgMar w:top="899" w:right="851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231" w:rsidRDefault="00BD7231">
      <w:r>
        <w:separator/>
      </w:r>
    </w:p>
  </w:endnote>
  <w:endnote w:type="continuationSeparator" w:id="0">
    <w:p w:rsidR="00BD7231" w:rsidRDefault="00BD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UkrainianJourn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Helvetic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231" w:rsidRDefault="00BD7231">
      <w:r>
        <w:separator/>
      </w:r>
    </w:p>
  </w:footnote>
  <w:footnote w:type="continuationSeparator" w:id="0">
    <w:p w:rsidR="00BD7231" w:rsidRDefault="00BD7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277" w:rsidRDefault="007C6277" w:rsidP="00A9259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19</w:t>
    </w:r>
    <w:r>
      <w:rPr>
        <w:rStyle w:val="a9"/>
      </w:rPr>
      <w:fldChar w:fldCharType="end"/>
    </w:r>
  </w:p>
  <w:p w:rsidR="007C6277" w:rsidRDefault="007C627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277" w:rsidRDefault="007C6277" w:rsidP="00A9259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7B39">
      <w:rPr>
        <w:rStyle w:val="a9"/>
        <w:noProof/>
      </w:rPr>
      <w:t>2</w:t>
    </w:r>
    <w:r>
      <w:rPr>
        <w:rStyle w:val="a9"/>
      </w:rPr>
      <w:fldChar w:fldCharType="end"/>
    </w:r>
  </w:p>
  <w:p w:rsidR="007C6277" w:rsidRDefault="007C62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4F63"/>
    <w:rsid w:val="00002038"/>
    <w:rsid w:val="00005827"/>
    <w:rsid w:val="00012D9C"/>
    <w:rsid w:val="00014644"/>
    <w:rsid w:val="0002128A"/>
    <w:rsid w:val="0002292E"/>
    <w:rsid w:val="0002399F"/>
    <w:rsid w:val="00025D86"/>
    <w:rsid w:val="000262EA"/>
    <w:rsid w:val="000271FD"/>
    <w:rsid w:val="00030745"/>
    <w:rsid w:val="00032F77"/>
    <w:rsid w:val="00033C40"/>
    <w:rsid w:val="00033CFF"/>
    <w:rsid w:val="0003554A"/>
    <w:rsid w:val="0003620B"/>
    <w:rsid w:val="0004053B"/>
    <w:rsid w:val="00043B11"/>
    <w:rsid w:val="00043F8A"/>
    <w:rsid w:val="000505B9"/>
    <w:rsid w:val="00051CF5"/>
    <w:rsid w:val="00054266"/>
    <w:rsid w:val="000543F2"/>
    <w:rsid w:val="00057861"/>
    <w:rsid w:val="000650CE"/>
    <w:rsid w:val="00066621"/>
    <w:rsid w:val="000720E8"/>
    <w:rsid w:val="00073B97"/>
    <w:rsid w:val="00074B27"/>
    <w:rsid w:val="00085513"/>
    <w:rsid w:val="00085EA8"/>
    <w:rsid w:val="00087976"/>
    <w:rsid w:val="00094022"/>
    <w:rsid w:val="0009762A"/>
    <w:rsid w:val="00097C83"/>
    <w:rsid w:val="000A3B50"/>
    <w:rsid w:val="000B037D"/>
    <w:rsid w:val="000B48CC"/>
    <w:rsid w:val="000B5F99"/>
    <w:rsid w:val="000C0732"/>
    <w:rsid w:val="000C09E9"/>
    <w:rsid w:val="000C33E1"/>
    <w:rsid w:val="000D223C"/>
    <w:rsid w:val="000D6257"/>
    <w:rsid w:val="000D6730"/>
    <w:rsid w:val="000E014B"/>
    <w:rsid w:val="000F0FA0"/>
    <w:rsid w:val="000F2F6D"/>
    <w:rsid w:val="000F709A"/>
    <w:rsid w:val="001075B3"/>
    <w:rsid w:val="00110316"/>
    <w:rsid w:val="00113560"/>
    <w:rsid w:val="001135BD"/>
    <w:rsid w:val="00113B43"/>
    <w:rsid w:val="00116A48"/>
    <w:rsid w:val="00126092"/>
    <w:rsid w:val="00126511"/>
    <w:rsid w:val="00127D33"/>
    <w:rsid w:val="00127DCA"/>
    <w:rsid w:val="0013601A"/>
    <w:rsid w:val="001364D1"/>
    <w:rsid w:val="00137C77"/>
    <w:rsid w:val="001451DF"/>
    <w:rsid w:val="00147AE5"/>
    <w:rsid w:val="0015079E"/>
    <w:rsid w:val="00150961"/>
    <w:rsid w:val="00153378"/>
    <w:rsid w:val="00155870"/>
    <w:rsid w:val="00162396"/>
    <w:rsid w:val="0016266B"/>
    <w:rsid w:val="00162C58"/>
    <w:rsid w:val="00163A1D"/>
    <w:rsid w:val="00164F2F"/>
    <w:rsid w:val="00166009"/>
    <w:rsid w:val="001675F9"/>
    <w:rsid w:val="00171603"/>
    <w:rsid w:val="001742A5"/>
    <w:rsid w:val="00174FC4"/>
    <w:rsid w:val="001759C6"/>
    <w:rsid w:val="0017623B"/>
    <w:rsid w:val="001805BE"/>
    <w:rsid w:val="001827F3"/>
    <w:rsid w:val="00184529"/>
    <w:rsid w:val="00185A27"/>
    <w:rsid w:val="00185AB0"/>
    <w:rsid w:val="00193A1E"/>
    <w:rsid w:val="0019797D"/>
    <w:rsid w:val="00197F28"/>
    <w:rsid w:val="001A1A36"/>
    <w:rsid w:val="001A1FF2"/>
    <w:rsid w:val="001A2E47"/>
    <w:rsid w:val="001A4774"/>
    <w:rsid w:val="001A6201"/>
    <w:rsid w:val="001B66A9"/>
    <w:rsid w:val="001B6AFC"/>
    <w:rsid w:val="001C04C0"/>
    <w:rsid w:val="001C09D8"/>
    <w:rsid w:val="001C214B"/>
    <w:rsid w:val="001C5F8A"/>
    <w:rsid w:val="001D1D1D"/>
    <w:rsid w:val="001D201C"/>
    <w:rsid w:val="001D6271"/>
    <w:rsid w:val="001D6529"/>
    <w:rsid w:val="001E1149"/>
    <w:rsid w:val="001E36B8"/>
    <w:rsid w:val="001E4125"/>
    <w:rsid w:val="001E53F2"/>
    <w:rsid w:val="001E5577"/>
    <w:rsid w:val="001F1CF3"/>
    <w:rsid w:val="00201A2E"/>
    <w:rsid w:val="0020771C"/>
    <w:rsid w:val="00210FB5"/>
    <w:rsid w:val="0021383D"/>
    <w:rsid w:val="00213D0B"/>
    <w:rsid w:val="00215C6C"/>
    <w:rsid w:val="002179ED"/>
    <w:rsid w:val="00222F92"/>
    <w:rsid w:val="00224617"/>
    <w:rsid w:val="00227035"/>
    <w:rsid w:val="00233DB8"/>
    <w:rsid w:val="00237C60"/>
    <w:rsid w:val="00241E9E"/>
    <w:rsid w:val="00244DB0"/>
    <w:rsid w:val="0025345B"/>
    <w:rsid w:val="00254AF3"/>
    <w:rsid w:val="0025639B"/>
    <w:rsid w:val="0026051C"/>
    <w:rsid w:val="0027228F"/>
    <w:rsid w:val="00274B66"/>
    <w:rsid w:val="00277921"/>
    <w:rsid w:val="002808EE"/>
    <w:rsid w:val="0028303D"/>
    <w:rsid w:val="00285E8D"/>
    <w:rsid w:val="002901C2"/>
    <w:rsid w:val="0029064D"/>
    <w:rsid w:val="002927C4"/>
    <w:rsid w:val="0029378D"/>
    <w:rsid w:val="00293D47"/>
    <w:rsid w:val="00294F63"/>
    <w:rsid w:val="0029779A"/>
    <w:rsid w:val="002A0548"/>
    <w:rsid w:val="002A245C"/>
    <w:rsid w:val="002B1BEF"/>
    <w:rsid w:val="002B333D"/>
    <w:rsid w:val="002B6B65"/>
    <w:rsid w:val="002B79B3"/>
    <w:rsid w:val="002C0F7E"/>
    <w:rsid w:val="002C1F28"/>
    <w:rsid w:val="002C4146"/>
    <w:rsid w:val="002D11E6"/>
    <w:rsid w:val="002D4347"/>
    <w:rsid w:val="002D5262"/>
    <w:rsid w:val="002E03F6"/>
    <w:rsid w:val="002E0502"/>
    <w:rsid w:val="002E4B1F"/>
    <w:rsid w:val="002E5260"/>
    <w:rsid w:val="002F1A0B"/>
    <w:rsid w:val="002F2110"/>
    <w:rsid w:val="002F2B24"/>
    <w:rsid w:val="002F322F"/>
    <w:rsid w:val="002F739B"/>
    <w:rsid w:val="002F7682"/>
    <w:rsid w:val="00300B11"/>
    <w:rsid w:val="00301465"/>
    <w:rsid w:val="00301B35"/>
    <w:rsid w:val="0030479D"/>
    <w:rsid w:val="00305917"/>
    <w:rsid w:val="003113D2"/>
    <w:rsid w:val="003121AC"/>
    <w:rsid w:val="00317E09"/>
    <w:rsid w:val="003206D4"/>
    <w:rsid w:val="003232FF"/>
    <w:rsid w:val="00327985"/>
    <w:rsid w:val="0032799F"/>
    <w:rsid w:val="00327DA6"/>
    <w:rsid w:val="00335DE1"/>
    <w:rsid w:val="00336A21"/>
    <w:rsid w:val="00346E4E"/>
    <w:rsid w:val="00354172"/>
    <w:rsid w:val="00356ABC"/>
    <w:rsid w:val="00361865"/>
    <w:rsid w:val="0036506E"/>
    <w:rsid w:val="0036657F"/>
    <w:rsid w:val="0037079F"/>
    <w:rsid w:val="0037571D"/>
    <w:rsid w:val="0037700C"/>
    <w:rsid w:val="00380F97"/>
    <w:rsid w:val="00381A81"/>
    <w:rsid w:val="00381B9B"/>
    <w:rsid w:val="00386ADA"/>
    <w:rsid w:val="003905FE"/>
    <w:rsid w:val="003922EC"/>
    <w:rsid w:val="003933B4"/>
    <w:rsid w:val="00393FF6"/>
    <w:rsid w:val="0039421A"/>
    <w:rsid w:val="00395368"/>
    <w:rsid w:val="003954E6"/>
    <w:rsid w:val="00396E28"/>
    <w:rsid w:val="003A7FAE"/>
    <w:rsid w:val="003B04F5"/>
    <w:rsid w:val="003B3CE0"/>
    <w:rsid w:val="003B3EBE"/>
    <w:rsid w:val="003C12BD"/>
    <w:rsid w:val="003C2E59"/>
    <w:rsid w:val="003D3B07"/>
    <w:rsid w:val="003D4924"/>
    <w:rsid w:val="003D6B15"/>
    <w:rsid w:val="003E1081"/>
    <w:rsid w:val="003E5B54"/>
    <w:rsid w:val="003E7501"/>
    <w:rsid w:val="003E7EAD"/>
    <w:rsid w:val="003F6B89"/>
    <w:rsid w:val="003F7051"/>
    <w:rsid w:val="003F7945"/>
    <w:rsid w:val="0040059A"/>
    <w:rsid w:val="00401346"/>
    <w:rsid w:val="00402B80"/>
    <w:rsid w:val="00403170"/>
    <w:rsid w:val="00403C47"/>
    <w:rsid w:val="004056FE"/>
    <w:rsid w:val="00406677"/>
    <w:rsid w:val="004136BA"/>
    <w:rsid w:val="004215A8"/>
    <w:rsid w:val="00421914"/>
    <w:rsid w:val="004245B4"/>
    <w:rsid w:val="00431A81"/>
    <w:rsid w:val="0043213D"/>
    <w:rsid w:val="004329EB"/>
    <w:rsid w:val="004405BA"/>
    <w:rsid w:val="00441D1A"/>
    <w:rsid w:val="00442635"/>
    <w:rsid w:val="0044469D"/>
    <w:rsid w:val="004455D9"/>
    <w:rsid w:val="004472BF"/>
    <w:rsid w:val="00447AA3"/>
    <w:rsid w:val="00451DDC"/>
    <w:rsid w:val="00453859"/>
    <w:rsid w:val="004575B5"/>
    <w:rsid w:val="00465778"/>
    <w:rsid w:val="00466929"/>
    <w:rsid w:val="0046723C"/>
    <w:rsid w:val="004717B1"/>
    <w:rsid w:val="004759AA"/>
    <w:rsid w:val="0048091D"/>
    <w:rsid w:val="004814A9"/>
    <w:rsid w:val="004865CF"/>
    <w:rsid w:val="00486BD0"/>
    <w:rsid w:val="0049546B"/>
    <w:rsid w:val="00496105"/>
    <w:rsid w:val="004A36BC"/>
    <w:rsid w:val="004A5F1A"/>
    <w:rsid w:val="004B0420"/>
    <w:rsid w:val="004B07D2"/>
    <w:rsid w:val="004B1D24"/>
    <w:rsid w:val="004B27FA"/>
    <w:rsid w:val="004B311E"/>
    <w:rsid w:val="004B3560"/>
    <w:rsid w:val="004B7721"/>
    <w:rsid w:val="004C77E2"/>
    <w:rsid w:val="004C7F50"/>
    <w:rsid w:val="004D2308"/>
    <w:rsid w:val="004D2E84"/>
    <w:rsid w:val="004D595B"/>
    <w:rsid w:val="004E5275"/>
    <w:rsid w:val="004E6501"/>
    <w:rsid w:val="004F7899"/>
    <w:rsid w:val="00502FE3"/>
    <w:rsid w:val="00504349"/>
    <w:rsid w:val="00506BDF"/>
    <w:rsid w:val="005074FA"/>
    <w:rsid w:val="00510249"/>
    <w:rsid w:val="00516029"/>
    <w:rsid w:val="00534EA9"/>
    <w:rsid w:val="00541280"/>
    <w:rsid w:val="005414A1"/>
    <w:rsid w:val="0054259D"/>
    <w:rsid w:val="0054528C"/>
    <w:rsid w:val="00546867"/>
    <w:rsid w:val="005479D5"/>
    <w:rsid w:val="00547ACD"/>
    <w:rsid w:val="005628FE"/>
    <w:rsid w:val="005633AC"/>
    <w:rsid w:val="00567A31"/>
    <w:rsid w:val="00572A85"/>
    <w:rsid w:val="00577EB9"/>
    <w:rsid w:val="005825D9"/>
    <w:rsid w:val="00583F76"/>
    <w:rsid w:val="005871C4"/>
    <w:rsid w:val="00590DCB"/>
    <w:rsid w:val="00592288"/>
    <w:rsid w:val="005A12D7"/>
    <w:rsid w:val="005B539E"/>
    <w:rsid w:val="005B6249"/>
    <w:rsid w:val="005B667A"/>
    <w:rsid w:val="005C5B0E"/>
    <w:rsid w:val="005D379F"/>
    <w:rsid w:val="005D56B2"/>
    <w:rsid w:val="005E11FE"/>
    <w:rsid w:val="005E3754"/>
    <w:rsid w:val="005E5F26"/>
    <w:rsid w:val="005F3797"/>
    <w:rsid w:val="005F3E79"/>
    <w:rsid w:val="005F47EF"/>
    <w:rsid w:val="005F73AC"/>
    <w:rsid w:val="006003BA"/>
    <w:rsid w:val="00601D80"/>
    <w:rsid w:val="00603406"/>
    <w:rsid w:val="006042F6"/>
    <w:rsid w:val="0060501C"/>
    <w:rsid w:val="0060626F"/>
    <w:rsid w:val="0060786F"/>
    <w:rsid w:val="00612171"/>
    <w:rsid w:val="006134EA"/>
    <w:rsid w:val="006159D8"/>
    <w:rsid w:val="00615AD0"/>
    <w:rsid w:val="00616F68"/>
    <w:rsid w:val="00621B02"/>
    <w:rsid w:val="00622FB0"/>
    <w:rsid w:val="00623FBC"/>
    <w:rsid w:val="00625B25"/>
    <w:rsid w:val="006379B1"/>
    <w:rsid w:val="00640ED0"/>
    <w:rsid w:val="00641315"/>
    <w:rsid w:val="006421BD"/>
    <w:rsid w:val="006572DF"/>
    <w:rsid w:val="00657370"/>
    <w:rsid w:val="00657CAD"/>
    <w:rsid w:val="0066108F"/>
    <w:rsid w:val="00666238"/>
    <w:rsid w:val="00670DCE"/>
    <w:rsid w:val="00676648"/>
    <w:rsid w:val="006813F9"/>
    <w:rsid w:val="006A0EA3"/>
    <w:rsid w:val="006A5F9B"/>
    <w:rsid w:val="006C20F0"/>
    <w:rsid w:val="006C314F"/>
    <w:rsid w:val="006C348F"/>
    <w:rsid w:val="006C4E7F"/>
    <w:rsid w:val="006C502E"/>
    <w:rsid w:val="006D373C"/>
    <w:rsid w:val="006D6A35"/>
    <w:rsid w:val="006D745B"/>
    <w:rsid w:val="006E278B"/>
    <w:rsid w:val="006F4C7D"/>
    <w:rsid w:val="006F7FBC"/>
    <w:rsid w:val="00700BD6"/>
    <w:rsid w:val="0071108A"/>
    <w:rsid w:val="0071262B"/>
    <w:rsid w:val="00714A09"/>
    <w:rsid w:val="007155EF"/>
    <w:rsid w:val="00716F08"/>
    <w:rsid w:val="007203EE"/>
    <w:rsid w:val="007208D1"/>
    <w:rsid w:val="007240F6"/>
    <w:rsid w:val="00725B8B"/>
    <w:rsid w:val="007263DE"/>
    <w:rsid w:val="00731FD0"/>
    <w:rsid w:val="00733490"/>
    <w:rsid w:val="007366E8"/>
    <w:rsid w:val="007368D3"/>
    <w:rsid w:val="00740889"/>
    <w:rsid w:val="00741FA6"/>
    <w:rsid w:val="00745160"/>
    <w:rsid w:val="00746154"/>
    <w:rsid w:val="00746FC8"/>
    <w:rsid w:val="0074742E"/>
    <w:rsid w:val="00747C13"/>
    <w:rsid w:val="00750B6E"/>
    <w:rsid w:val="00751BE5"/>
    <w:rsid w:val="007535B9"/>
    <w:rsid w:val="0075412E"/>
    <w:rsid w:val="00756FC0"/>
    <w:rsid w:val="007642AC"/>
    <w:rsid w:val="00766602"/>
    <w:rsid w:val="00770C43"/>
    <w:rsid w:val="00771947"/>
    <w:rsid w:val="00774CAF"/>
    <w:rsid w:val="007761A7"/>
    <w:rsid w:val="00776A8E"/>
    <w:rsid w:val="00781F8D"/>
    <w:rsid w:val="007844C8"/>
    <w:rsid w:val="00790287"/>
    <w:rsid w:val="007905D0"/>
    <w:rsid w:val="00791D3C"/>
    <w:rsid w:val="00791DFC"/>
    <w:rsid w:val="00793DC6"/>
    <w:rsid w:val="00794197"/>
    <w:rsid w:val="007944F7"/>
    <w:rsid w:val="00795A79"/>
    <w:rsid w:val="00795C56"/>
    <w:rsid w:val="00797B8F"/>
    <w:rsid w:val="007A0957"/>
    <w:rsid w:val="007A283F"/>
    <w:rsid w:val="007A46ED"/>
    <w:rsid w:val="007A7D79"/>
    <w:rsid w:val="007B17B9"/>
    <w:rsid w:val="007B3BBD"/>
    <w:rsid w:val="007B48AC"/>
    <w:rsid w:val="007B5983"/>
    <w:rsid w:val="007B5CF6"/>
    <w:rsid w:val="007B6A05"/>
    <w:rsid w:val="007C1CE6"/>
    <w:rsid w:val="007C43A6"/>
    <w:rsid w:val="007C5321"/>
    <w:rsid w:val="007C6277"/>
    <w:rsid w:val="007D1F2B"/>
    <w:rsid w:val="007D6720"/>
    <w:rsid w:val="007D7CF5"/>
    <w:rsid w:val="007E0EC2"/>
    <w:rsid w:val="007E0F53"/>
    <w:rsid w:val="007E1860"/>
    <w:rsid w:val="007E41C6"/>
    <w:rsid w:val="007E574F"/>
    <w:rsid w:val="007F00EC"/>
    <w:rsid w:val="007F0511"/>
    <w:rsid w:val="007F169E"/>
    <w:rsid w:val="007F223E"/>
    <w:rsid w:val="007F3321"/>
    <w:rsid w:val="007F6CB0"/>
    <w:rsid w:val="00801107"/>
    <w:rsid w:val="008011E6"/>
    <w:rsid w:val="00805071"/>
    <w:rsid w:val="0081041B"/>
    <w:rsid w:val="00814422"/>
    <w:rsid w:val="00821BB8"/>
    <w:rsid w:val="00822201"/>
    <w:rsid w:val="00822204"/>
    <w:rsid w:val="0082313B"/>
    <w:rsid w:val="008301C6"/>
    <w:rsid w:val="00832842"/>
    <w:rsid w:val="0083326D"/>
    <w:rsid w:val="008353B4"/>
    <w:rsid w:val="00840EC6"/>
    <w:rsid w:val="00842490"/>
    <w:rsid w:val="0084370F"/>
    <w:rsid w:val="0084493E"/>
    <w:rsid w:val="008517E0"/>
    <w:rsid w:val="00853E24"/>
    <w:rsid w:val="00853FBE"/>
    <w:rsid w:val="008553F2"/>
    <w:rsid w:val="008618E8"/>
    <w:rsid w:val="00863DE8"/>
    <w:rsid w:val="00863ED5"/>
    <w:rsid w:val="008659A0"/>
    <w:rsid w:val="00871A29"/>
    <w:rsid w:val="00871F1C"/>
    <w:rsid w:val="008832C1"/>
    <w:rsid w:val="00894350"/>
    <w:rsid w:val="00894B53"/>
    <w:rsid w:val="00895A95"/>
    <w:rsid w:val="00896111"/>
    <w:rsid w:val="008A22A2"/>
    <w:rsid w:val="008A2864"/>
    <w:rsid w:val="008A544D"/>
    <w:rsid w:val="008A5860"/>
    <w:rsid w:val="008A5DA2"/>
    <w:rsid w:val="008A65B0"/>
    <w:rsid w:val="008B1CC5"/>
    <w:rsid w:val="008B65B7"/>
    <w:rsid w:val="008B6A26"/>
    <w:rsid w:val="008C0C34"/>
    <w:rsid w:val="008C244E"/>
    <w:rsid w:val="008C2E41"/>
    <w:rsid w:val="008C2F25"/>
    <w:rsid w:val="008C3669"/>
    <w:rsid w:val="008C382F"/>
    <w:rsid w:val="008D0F67"/>
    <w:rsid w:val="008D30E6"/>
    <w:rsid w:val="008D3E2D"/>
    <w:rsid w:val="008D4127"/>
    <w:rsid w:val="008D5217"/>
    <w:rsid w:val="008E1940"/>
    <w:rsid w:val="008E2D95"/>
    <w:rsid w:val="008E3C63"/>
    <w:rsid w:val="008E442B"/>
    <w:rsid w:val="008E45D1"/>
    <w:rsid w:val="008F1232"/>
    <w:rsid w:val="008F1F9E"/>
    <w:rsid w:val="008F32FE"/>
    <w:rsid w:val="008F4FEA"/>
    <w:rsid w:val="008F5EE9"/>
    <w:rsid w:val="0090082B"/>
    <w:rsid w:val="00904293"/>
    <w:rsid w:val="009044E0"/>
    <w:rsid w:val="00905DB9"/>
    <w:rsid w:val="00910BC6"/>
    <w:rsid w:val="009122BD"/>
    <w:rsid w:val="00913C65"/>
    <w:rsid w:val="009143C2"/>
    <w:rsid w:val="00914F8A"/>
    <w:rsid w:val="009153F7"/>
    <w:rsid w:val="00922B1C"/>
    <w:rsid w:val="00922BB5"/>
    <w:rsid w:val="00925188"/>
    <w:rsid w:val="00925F41"/>
    <w:rsid w:val="00933409"/>
    <w:rsid w:val="00933B70"/>
    <w:rsid w:val="00934870"/>
    <w:rsid w:val="00936F53"/>
    <w:rsid w:val="009423B3"/>
    <w:rsid w:val="009426C9"/>
    <w:rsid w:val="00943E40"/>
    <w:rsid w:val="009445E7"/>
    <w:rsid w:val="00951096"/>
    <w:rsid w:val="00953120"/>
    <w:rsid w:val="009560C9"/>
    <w:rsid w:val="009575DF"/>
    <w:rsid w:val="00957992"/>
    <w:rsid w:val="00961BEF"/>
    <w:rsid w:val="00963FFE"/>
    <w:rsid w:val="00970282"/>
    <w:rsid w:val="00974BA8"/>
    <w:rsid w:val="0097553B"/>
    <w:rsid w:val="00976865"/>
    <w:rsid w:val="00981702"/>
    <w:rsid w:val="00990A6B"/>
    <w:rsid w:val="00990DEA"/>
    <w:rsid w:val="0099367B"/>
    <w:rsid w:val="00996822"/>
    <w:rsid w:val="00996F26"/>
    <w:rsid w:val="009A19C9"/>
    <w:rsid w:val="009A2D99"/>
    <w:rsid w:val="009A4F1C"/>
    <w:rsid w:val="009A5E1E"/>
    <w:rsid w:val="009A7E5B"/>
    <w:rsid w:val="009B3188"/>
    <w:rsid w:val="009B54AB"/>
    <w:rsid w:val="009B6E1E"/>
    <w:rsid w:val="009B6E2F"/>
    <w:rsid w:val="009C0CC3"/>
    <w:rsid w:val="009C15AC"/>
    <w:rsid w:val="009C2E91"/>
    <w:rsid w:val="009C34C6"/>
    <w:rsid w:val="009C77F6"/>
    <w:rsid w:val="009D31B5"/>
    <w:rsid w:val="009D67EB"/>
    <w:rsid w:val="009E45B2"/>
    <w:rsid w:val="009E6A78"/>
    <w:rsid w:val="009E7801"/>
    <w:rsid w:val="009F0E70"/>
    <w:rsid w:val="009F3AF2"/>
    <w:rsid w:val="009F5F14"/>
    <w:rsid w:val="009F6951"/>
    <w:rsid w:val="009F6DEA"/>
    <w:rsid w:val="00A014EA"/>
    <w:rsid w:val="00A024E6"/>
    <w:rsid w:val="00A0399F"/>
    <w:rsid w:val="00A051AD"/>
    <w:rsid w:val="00A129B0"/>
    <w:rsid w:val="00A2048C"/>
    <w:rsid w:val="00A2295C"/>
    <w:rsid w:val="00A34180"/>
    <w:rsid w:val="00A37275"/>
    <w:rsid w:val="00A50CA3"/>
    <w:rsid w:val="00A55590"/>
    <w:rsid w:val="00A557E0"/>
    <w:rsid w:val="00A571F7"/>
    <w:rsid w:val="00A57B91"/>
    <w:rsid w:val="00A60683"/>
    <w:rsid w:val="00A6220F"/>
    <w:rsid w:val="00A6487A"/>
    <w:rsid w:val="00A6580C"/>
    <w:rsid w:val="00A6766A"/>
    <w:rsid w:val="00A70218"/>
    <w:rsid w:val="00A70B7E"/>
    <w:rsid w:val="00A7274F"/>
    <w:rsid w:val="00A76262"/>
    <w:rsid w:val="00A80CD8"/>
    <w:rsid w:val="00A81356"/>
    <w:rsid w:val="00A836A2"/>
    <w:rsid w:val="00A84C7B"/>
    <w:rsid w:val="00A86476"/>
    <w:rsid w:val="00A90D00"/>
    <w:rsid w:val="00A92598"/>
    <w:rsid w:val="00A949D9"/>
    <w:rsid w:val="00A953F9"/>
    <w:rsid w:val="00AA108F"/>
    <w:rsid w:val="00AA15B0"/>
    <w:rsid w:val="00AA1FB9"/>
    <w:rsid w:val="00AA38AC"/>
    <w:rsid w:val="00AA3BD6"/>
    <w:rsid w:val="00AA4F54"/>
    <w:rsid w:val="00AB060F"/>
    <w:rsid w:val="00AB1B24"/>
    <w:rsid w:val="00AB3BEB"/>
    <w:rsid w:val="00AB4506"/>
    <w:rsid w:val="00AB4C05"/>
    <w:rsid w:val="00AC0133"/>
    <w:rsid w:val="00AC2374"/>
    <w:rsid w:val="00AC31AE"/>
    <w:rsid w:val="00AC369E"/>
    <w:rsid w:val="00AC3872"/>
    <w:rsid w:val="00AC5B23"/>
    <w:rsid w:val="00AD14CC"/>
    <w:rsid w:val="00AD1532"/>
    <w:rsid w:val="00AD3AD5"/>
    <w:rsid w:val="00AD3D61"/>
    <w:rsid w:val="00AD74E2"/>
    <w:rsid w:val="00AE3DA0"/>
    <w:rsid w:val="00B0416D"/>
    <w:rsid w:val="00B12725"/>
    <w:rsid w:val="00B20E44"/>
    <w:rsid w:val="00B26512"/>
    <w:rsid w:val="00B26F42"/>
    <w:rsid w:val="00B31C3F"/>
    <w:rsid w:val="00B41C7A"/>
    <w:rsid w:val="00B43C03"/>
    <w:rsid w:val="00B442B8"/>
    <w:rsid w:val="00B44E78"/>
    <w:rsid w:val="00B52D45"/>
    <w:rsid w:val="00B533F1"/>
    <w:rsid w:val="00B55248"/>
    <w:rsid w:val="00B570D0"/>
    <w:rsid w:val="00B57B12"/>
    <w:rsid w:val="00B6440A"/>
    <w:rsid w:val="00B65D93"/>
    <w:rsid w:val="00B66EF0"/>
    <w:rsid w:val="00B75722"/>
    <w:rsid w:val="00B75E82"/>
    <w:rsid w:val="00B854BA"/>
    <w:rsid w:val="00B86229"/>
    <w:rsid w:val="00B86875"/>
    <w:rsid w:val="00B87965"/>
    <w:rsid w:val="00B87C9D"/>
    <w:rsid w:val="00B87FAA"/>
    <w:rsid w:val="00B9570F"/>
    <w:rsid w:val="00B95836"/>
    <w:rsid w:val="00B965B7"/>
    <w:rsid w:val="00BA2340"/>
    <w:rsid w:val="00BA435A"/>
    <w:rsid w:val="00BA6188"/>
    <w:rsid w:val="00BA6CA1"/>
    <w:rsid w:val="00BB2E72"/>
    <w:rsid w:val="00BB7774"/>
    <w:rsid w:val="00BC4CDC"/>
    <w:rsid w:val="00BC4F81"/>
    <w:rsid w:val="00BC68C7"/>
    <w:rsid w:val="00BC6A08"/>
    <w:rsid w:val="00BC6DC5"/>
    <w:rsid w:val="00BC7E42"/>
    <w:rsid w:val="00BD3E1A"/>
    <w:rsid w:val="00BD4899"/>
    <w:rsid w:val="00BD5730"/>
    <w:rsid w:val="00BD7231"/>
    <w:rsid w:val="00BE044B"/>
    <w:rsid w:val="00BF27B3"/>
    <w:rsid w:val="00BF3804"/>
    <w:rsid w:val="00BF51E8"/>
    <w:rsid w:val="00BF62AB"/>
    <w:rsid w:val="00C01402"/>
    <w:rsid w:val="00C0142E"/>
    <w:rsid w:val="00C01D99"/>
    <w:rsid w:val="00C21063"/>
    <w:rsid w:val="00C239FE"/>
    <w:rsid w:val="00C24CB8"/>
    <w:rsid w:val="00C3267D"/>
    <w:rsid w:val="00C32A58"/>
    <w:rsid w:val="00C35B9D"/>
    <w:rsid w:val="00C3784E"/>
    <w:rsid w:val="00C445A3"/>
    <w:rsid w:val="00C50499"/>
    <w:rsid w:val="00C61232"/>
    <w:rsid w:val="00C62AC9"/>
    <w:rsid w:val="00C635E2"/>
    <w:rsid w:val="00C655FA"/>
    <w:rsid w:val="00C67B39"/>
    <w:rsid w:val="00C75DED"/>
    <w:rsid w:val="00C76CD6"/>
    <w:rsid w:val="00C80603"/>
    <w:rsid w:val="00C81794"/>
    <w:rsid w:val="00C81B4F"/>
    <w:rsid w:val="00C81E99"/>
    <w:rsid w:val="00C86B3C"/>
    <w:rsid w:val="00C86BD7"/>
    <w:rsid w:val="00C87B3E"/>
    <w:rsid w:val="00C90E0A"/>
    <w:rsid w:val="00C93E4A"/>
    <w:rsid w:val="00C96712"/>
    <w:rsid w:val="00CA2CD6"/>
    <w:rsid w:val="00CA7C1A"/>
    <w:rsid w:val="00CB19E4"/>
    <w:rsid w:val="00CB46B5"/>
    <w:rsid w:val="00CB6114"/>
    <w:rsid w:val="00CB6230"/>
    <w:rsid w:val="00CB7790"/>
    <w:rsid w:val="00CC0750"/>
    <w:rsid w:val="00CC0C72"/>
    <w:rsid w:val="00CC2764"/>
    <w:rsid w:val="00CC3997"/>
    <w:rsid w:val="00CC42C3"/>
    <w:rsid w:val="00CC56F5"/>
    <w:rsid w:val="00CD1912"/>
    <w:rsid w:val="00CD498D"/>
    <w:rsid w:val="00CD7D79"/>
    <w:rsid w:val="00CE3AA6"/>
    <w:rsid w:val="00CF04F0"/>
    <w:rsid w:val="00CF2327"/>
    <w:rsid w:val="00CF24B6"/>
    <w:rsid w:val="00CF4873"/>
    <w:rsid w:val="00CF4D20"/>
    <w:rsid w:val="00D013F3"/>
    <w:rsid w:val="00D046F9"/>
    <w:rsid w:val="00D07F94"/>
    <w:rsid w:val="00D10AF2"/>
    <w:rsid w:val="00D10DFE"/>
    <w:rsid w:val="00D120B6"/>
    <w:rsid w:val="00D13A56"/>
    <w:rsid w:val="00D13A88"/>
    <w:rsid w:val="00D13FD1"/>
    <w:rsid w:val="00D25992"/>
    <w:rsid w:val="00D32D3F"/>
    <w:rsid w:val="00D3519B"/>
    <w:rsid w:val="00D35B4B"/>
    <w:rsid w:val="00D411A3"/>
    <w:rsid w:val="00D430FF"/>
    <w:rsid w:val="00D46329"/>
    <w:rsid w:val="00D47EE0"/>
    <w:rsid w:val="00D559D2"/>
    <w:rsid w:val="00D5601E"/>
    <w:rsid w:val="00D60483"/>
    <w:rsid w:val="00D64275"/>
    <w:rsid w:val="00D70C87"/>
    <w:rsid w:val="00D72B5F"/>
    <w:rsid w:val="00D74FEB"/>
    <w:rsid w:val="00D767BC"/>
    <w:rsid w:val="00D82109"/>
    <w:rsid w:val="00D90A35"/>
    <w:rsid w:val="00D9251C"/>
    <w:rsid w:val="00DA0FC9"/>
    <w:rsid w:val="00DA25F6"/>
    <w:rsid w:val="00DA473F"/>
    <w:rsid w:val="00DA5441"/>
    <w:rsid w:val="00DB145F"/>
    <w:rsid w:val="00DB447D"/>
    <w:rsid w:val="00DB4EC2"/>
    <w:rsid w:val="00DB6327"/>
    <w:rsid w:val="00DB74A2"/>
    <w:rsid w:val="00DC1E0A"/>
    <w:rsid w:val="00DC1E43"/>
    <w:rsid w:val="00DD0062"/>
    <w:rsid w:val="00DD09EC"/>
    <w:rsid w:val="00DD23EF"/>
    <w:rsid w:val="00DD2FFC"/>
    <w:rsid w:val="00DD7547"/>
    <w:rsid w:val="00DE12F1"/>
    <w:rsid w:val="00DE1317"/>
    <w:rsid w:val="00DE1389"/>
    <w:rsid w:val="00DE5046"/>
    <w:rsid w:val="00DE6245"/>
    <w:rsid w:val="00DF16C1"/>
    <w:rsid w:val="00DF4F37"/>
    <w:rsid w:val="00E05688"/>
    <w:rsid w:val="00E06828"/>
    <w:rsid w:val="00E07D2D"/>
    <w:rsid w:val="00E10341"/>
    <w:rsid w:val="00E1123A"/>
    <w:rsid w:val="00E11FB8"/>
    <w:rsid w:val="00E1272A"/>
    <w:rsid w:val="00E13616"/>
    <w:rsid w:val="00E20832"/>
    <w:rsid w:val="00E20ED7"/>
    <w:rsid w:val="00E232E1"/>
    <w:rsid w:val="00E23F86"/>
    <w:rsid w:val="00E26221"/>
    <w:rsid w:val="00E30062"/>
    <w:rsid w:val="00E30CD2"/>
    <w:rsid w:val="00E33EE5"/>
    <w:rsid w:val="00E375DC"/>
    <w:rsid w:val="00E422A8"/>
    <w:rsid w:val="00E528F5"/>
    <w:rsid w:val="00E55F70"/>
    <w:rsid w:val="00E565CA"/>
    <w:rsid w:val="00E566D5"/>
    <w:rsid w:val="00E62E84"/>
    <w:rsid w:val="00E6596E"/>
    <w:rsid w:val="00E72E12"/>
    <w:rsid w:val="00E73795"/>
    <w:rsid w:val="00E762A1"/>
    <w:rsid w:val="00E77C1D"/>
    <w:rsid w:val="00E77FA5"/>
    <w:rsid w:val="00E8087C"/>
    <w:rsid w:val="00E84570"/>
    <w:rsid w:val="00E86C49"/>
    <w:rsid w:val="00E97973"/>
    <w:rsid w:val="00EA3009"/>
    <w:rsid w:val="00EB6471"/>
    <w:rsid w:val="00EC3DC5"/>
    <w:rsid w:val="00EC6DDE"/>
    <w:rsid w:val="00ED0AAF"/>
    <w:rsid w:val="00ED3397"/>
    <w:rsid w:val="00ED3C77"/>
    <w:rsid w:val="00ED4E22"/>
    <w:rsid w:val="00ED686C"/>
    <w:rsid w:val="00ED687A"/>
    <w:rsid w:val="00ED7122"/>
    <w:rsid w:val="00EE0815"/>
    <w:rsid w:val="00EE2265"/>
    <w:rsid w:val="00EE4B7B"/>
    <w:rsid w:val="00EF06CA"/>
    <w:rsid w:val="00EF06E7"/>
    <w:rsid w:val="00EF22EF"/>
    <w:rsid w:val="00F02927"/>
    <w:rsid w:val="00F050F4"/>
    <w:rsid w:val="00F05F5E"/>
    <w:rsid w:val="00F0799D"/>
    <w:rsid w:val="00F1141C"/>
    <w:rsid w:val="00F125F0"/>
    <w:rsid w:val="00F151DF"/>
    <w:rsid w:val="00F24C1D"/>
    <w:rsid w:val="00F25963"/>
    <w:rsid w:val="00F25B2F"/>
    <w:rsid w:val="00F27562"/>
    <w:rsid w:val="00F3033C"/>
    <w:rsid w:val="00F342D7"/>
    <w:rsid w:val="00F34630"/>
    <w:rsid w:val="00F36C3C"/>
    <w:rsid w:val="00F42B3B"/>
    <w:rsid w:val="00F50097"/>
    <w:rsid w:val="00F51507"/>
    <w:rsid w:val="00F5385B"/>
    <w:rsid w:val="00F54B5B"/>
    <w:rsid w:val="00F56C52"/>
    <w:rsid w:val="00F60F3D"/>
    <w:rsid w:val="00F63C76"/>
    <w:rsid w:val="00F720C9"/>
    <w:rsid w:val="00F7264B"/>
    <w:rsid w:val="00F73485"/>
    <w:rsid w:val="00F737CB"/>
    <w:rsid w:val="00F74CE1"/>
    <w:rsid w:val="00F753A2"/>
    <w:rsid w:val="00F764E9"/>
    <w:rsid w:val="00F81085"/>
    <w:rsid w:val="00F81B75"/>
    <w:rsid w:val="00F81FD4"/>
    <w:rsid w:val="00F82E33"/>
    <w:rsid w:val="00F83309"/>
    <w:rsid w:val="00F8511B"/>
    <w:rsid w:val="00F856BB"/>
    <w:rsid w:val="00F923BF"/>
    <w:rsid w:val="00F9483A"/>
    <w:rsid w:val="00F9554D"/>
    <w:rsid w:val="00F9784C"/>
    <w:rsid w:val="00FA0787"/>
    <w:rsid w:val="00FA4080"/>
    <w:rsid w:val="00FB4F1C"/>
    <w:rsid w:val="00FB61BF"/>
    <w:rsid w:val="00FC0925"/>
    <w:rsid w:val="00FC0C85"/>
    <w:rsid w:val="00FC2FE5"/>
    <w:rsid w:val="00FC7D65"/>
    <w:rsid w:val="00FD5868"/>
    <w:rsid w:val="00FD5948"/>
    <w:rsid w:val="00FD5C9E"/>
    <w:rsid w:val="00FE1D5A"/>
    <w:rsid w:val="00FE3816"/>
    <w:rsid w:val="00FE5857"/>
    <w:rsid w:val="00FE7B45"/>
    <w:rsid w:val="00FF0209"/>
    <w:rsid w:val="00FF0569"/>
    <w:rsid w:val="00FF17AD"/>
    <w:rsid w:val="00FF2809"/>
    <w:rsid w:val="00FF4671"/>
    <w:rsid w:val="00FF649A"/>
    <w:rsid w:val="00FF7186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D5B2E1-0798-4664-B257-6A38FEFE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94F63"/>
    <w:rPr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025D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025D86"/>
    <w:rPr>
      <w:rFonts w:cs="Times New Roman"/>
      <w:b/>
      <w:sz w:val="36"/>
    </w:rPr>
  </w:style>
  <w:style w:type="table" w:styleId="a3">
    <w:name w:val="Table Grid"/>
    <w:basedOn w:val="a1"/>
    <w:uiPriority w:val="99"/>
    <w:rsid w:val="0092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59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imes New Roman"/>
      <w:sz w:val="16"/>
      <w:lang w:val="uk-UA" w:eastAsia="uk-U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AA15B0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AA15B0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rsid w:val="00871F1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lang w:val="uk-UA" w:eastAsia="uk-UA"/>
    </w:rPr>
  </w:style>
  <w:style w:type="character" w:styleId="a9">
    <w:name w:val="page number"/>
    <w:uiPriority w:val="99"/>
    <w:rsid w:val="00871F1C"/>
    <w:rPr>
      <w:rFonts w:cs="Times New Roman"/>
    </w:rPr>
  </w:style>
  <w:style w:type="paragraph" w:styleId="aa">
    <w:name w:val="Body Text"/>
    <w:basedOn w:val="a"/>
    <w:link w:val="ab"/>
    <w:uiPriority w:val="99"/>
    <w:rsid w:val="009C77F6"/>
    <w:pPr>
      <w:ind w:firstLine="720"/>
      <w:jc w:val="both"/>
    </w:pPr>
    <w:rPr>
      <w:sz w:val="28"/>
      <w:szCs w:val="20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9C77F6"/>
    <w:rPr>
      <w:rFonts w:cs="Times New Roman"/>
      <w:sz w:val="28"/>
      <w:lang w:val="x-none" w:eastAsia="ru-RU"/>
    </w:rPr>
  </w:style>
  <w:style w:type="character" w:customStyle="1" w:styleId="rvts9">
    <w:name w:val="rvts9"/>
    <w:rsid w:val="009D31B5"/>
  </w:style>
  <w:style w:type="character" w:customStyle="1" w:styleId="apple-converted-space">
    <w:name w:val="apple-converted-space"/>
    <w:rsid w:val="009D31B5"/>
  </w:style>
  <w:style w:type="paragraph" w:customStyle="1" w:styleId="rvps2">
    <w:name w:val="rvps2"/>
    <w:basedOn w:val="a"/>
    <w:rsid w:val="009D31B5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rvts37">
    <w:name w:val="rvts37"/>
    <w:rsid w:val="009D31B5"/>
  </w:style>
  <w:style w:type="character" w:customStyle="1" w:styleId="rvts0">
    <w:name w:val="rvts0"/>
    <w:uiPriority w:val="99"/>
    <w:rsid w:val="00085513"/>
  </w:style>
  <w:style w:type="paragraph" w:customStyle="1" w:styleId="ac">
    <w:name w:val="Нормальний текст"/>
    <w:basedOn w:val="a"/>
    <w:uiPriority w:val="99"/>
    <w:rsid w:val="00601D80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tyleNormal">
    <w:name w:val="StyleNormal"/>
    <w:link w:val="StyleNormal0"/>
    <w:uiPriority w:val="99"/>
    <w:rsid w:val="00770C43"/>
    <w:pPr>
      <w:spacing w:line="220" w:lineRule="exact"/>
    </w:pPr>
    <w:rPr>
      <w:lang w:eastAsia="ru-RU"/>
    </w:rPr>
  </w:style>
  <w:style w:type="character" w:customStyle="1" w:styleId="StyleNormal0">
    <w:name w:val="StyleNormal Знак"/>
    <w:link w:val="StyleNormal"/>
    <w:uiPriority w:val="99"/>
    <w:locked/>
    <w:rsid w:val="00770C43"/>
    <w:rPr>
      <w:sz w:val="20"/>
      <w:lang w:val="uk-UA" w:eastAsia="x-none"/>
    </w:rPr>
  </w:style>
  <w:style w:type="paragraph" w:customStyle="1" w:styleId="StyleZakonu">
    <w:name w:val="StyleZakonu"/>
    <w:basedOn w:val="StyleNormal"/>
    <w:uiPriority w:val="99"/>
    <w:rsid w:val="00770C43"/>
    <w:pPr>
      <w:spacing w:after="60"/>
      <w:ind w:firstLine="284"/>
      <w:jc w:val="both"/>
    </w:pPr>
  </w:style>
  <w:style w:type="paragraph" w:customStyle="1" w:styleId="1">
    <w:name w:val="Звичайний1"/>
    <w:uiPriority w:val="99"/>
    <w:rsid w:val="00D046F9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character" w:styleId="ad">
    <w:name w:val="Hyperlink"/>
    <w:uiPriority w:val="99"/>
    <w:semiHidden/>
    <w:unhideWhenUsed/>
    <w:rsid w:val="007E0EC2"/>
    <w:rPr>
      <w:rFonts w:cs="Times New Roman"/>
      <w:color w:val="0000FF"/>
      <w:u w:val="single"/>
    </w:rPr>
  </w:style>
  <w:style w:type="paragraph" w:styleId="ae">
    <w:name w:val="List Paragraph"/>
    <w:basedOn w:val="a"/>
    <w:uiPriority w:val="34"/>
    <w:qFormat/>
    <w:rsid w:val="00E06828"/>
    <w:pPr>
      <w:spacing w:after="160" w:line="254" w:lineRule="auto"/>
      <w:ind w:left="720"/>
      <w:contextualSpacing/>
    </w:pPr>
    <w:rPr>
      <w:sz w:val="28"/>
      <w:szCs w:val="22"/>
      <w:lang w:val="ru-RU" w:eastAsia="en-US"/>
    </w:rPr>
  </w:style>
  <w:style w:type="character" w:styleId="af">
    <w:name w:val="FollowedHyperlink"/>
    <w:uiPriority w:val="99"/>
    <w:semiHidden/>
    <w:unhideWhenUsed/>
    <w:rsid w:val="00FA0787"/>
    <w:rPr>
      <w:rFonts w:cs="Times New Roman"/>
      <w:color w:val="954F72"/>
      <w:u w:val="single"/>
    </w:rPr>
  </w:style>
  <w:style w:type="character" w:customStyle="1" w:styleId="rvts46">
    <w:name w:val="rvts46"/>
    <w:rsid w:val="000D6257"/>
  </w:style>
  <w:style w:type="paragraph" w:styleId="HTML">
    <w:name w:val="HTML Preformatted"/>
    <w:aliases w:val="Знак2,Знак Знак,Знак"/>
    <w:basedOn w:val="a"/>
    <w:link w:val="HTML0"/>
    <w:uiPriority w:val="99"/>
    <w:rsid w:val="0066108F"/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aliases w:val="Знак2 Знак,Знак Знак Знак,Знак Знак1"/>
    <w:link w:val="HTML"/>
    <w:uiPriority w:val="99"/>
    <w:rsid w:val="0066108F"/>
    <w:rPr>
      <w:rFonts w:ascii="Courier New" w:hAnsi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" TargetMode="External"/><Relationship Id="rId13" Type="http://schemas.openxmlformats.org/officeDocument/2006/relationships/hyperlink" Target="https://zakon.rada.gov.ua/laws/show/2456-1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456-17" TargetMode="External"/><Relationship Id="rId12" Type="http://schemas.openxmlformats.org/officeDocument/2006/relationships/hyperlink" Target="https://zakon.rada.gov.ua/laws/show/2456-17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456-17" TargetMode="External"/><Relationship Id="rId11" Type="http://schemas.openxmlformats.org/officeDocument/2006/relationships/hyperlink" Target="https://zakon.rada.gov.ua/laws/show/2456-17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755-17" TargetMode="External"/><Relationship Id="rId10" Type="http://schemas.openxmlformats.org/officeDocument/2006/relationships/hyperlink" Target="https://zakon.rada.gov.ua/laws/show/2456-17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456-17" TargetMode="External"/><Relationship Id="rId14" Type="http://schemas.openxmlformats.org/officeDocument/2006/relationships/hyperlink" Target="https://zakon.rada.gov.ua/laws/show/2755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4603</Words>
  <Characters>2624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ПОРІВНЯЛЬНА ТАБЛИЦЯ</vt:lpstr>
      <vt:lpstr>ПОРІВНЯЛЬНА ТАБЛИЦЯ</vt:lpstr>
    </vt:vector>
  </TitlesOfParts>
  <Company>Krokoz™</Company>
  <LinksUpToDate>false</LinksUpToDate>
  <CharactersWithSpaces>7213</CharactersWithSpaces>
  <SharedDoc>false</SharedDoc>
  <HLinks>
    <vt:vector size="60" baseType="variant">
      <vt:variant>
        <vt:i4>6815782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https://zakon.rada.gov.ua/laws/show/2755-17</vt:lpwstr>
      </vt:variant>
      <vt:variant>
        <vt:lpwstr/>
      </vt:variant>
      <vt:variant>
        <vt:i4>6815782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https://zakon.rada.gov.ua/laws/show/2755-17</vt:lpwstr>
      </vt:variant>
      <vt:variant>
        <vt:lpwstr/>
      </vt:variant>
      <vt:variant>
        <vt:i4>6422640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n2886</vt:lpwstr>
      </vt:variant>
      <vt:variant>
        <vt:i4>6422640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n2886</vt:lpwstr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n2001</vt:lpwstr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n2001</vt:lpwstr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n1169</vt:lpwstr>
      </vt:variant>
      <vt:variant>
        <vt:i4>6291576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n1096</vt:lpwstr>
      </vt:variant>
      <vt:variant>
        <vt:i4>7078008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n1051</vt:lpwstr>
      </vt:variant>
      <vt:variant>
        <vt:i4>6815864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>n1015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Admin</dc:creator>
  <cp:keywords/>
  <dc:description/>
  <cp:lastModifiedBy>TYTORENKO Artem</cp:lastModifiedBy>
  <cp:revision>2</cp:revision>
  <cp:lastPrinted>2020-03-13T09:43:00Z</cp:lastPrinted>
  <dcterms:created xsi:type="dcterms:W3CDTF">2020-03-20T13:01:00Z</dcterms:created>
  <dcterms:modified xsi:type="dcterms:W3CDTF">2020-03-20T13:01:00Z</dcterms:modified>
</cp:coreProperties>
</file>