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B10" w:rsidRDefault="0015494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324B10" w:rsidRDefault="00324B1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24B10" w:rsidRDefault="00154944">
      <w:pPr>
        <w:pStyle w:val="a7"/>
        <w:shd w:val="clear" w:color="auto" w:fill="FFFFFF"/>
        <w:spacing w:beforeAutospacing="0" w:after="0" w:afterAutospacing="0"/>
        <w:ind w:left="448" w:right="4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проекту </w:t>
      </w:r>
      <w:bookmarkStart w:id="0" w:name="n3"/>
      <w:bookmarkEnd w:id="0"/>
      <w:r>
        <w:rPr>
          <w:b/>
          <w:sz w:val="28"/>
          <w:szCs w:val="28"/>
        </w:rPr>
        <w:t>Постанови Верховної Ради України</w:t>
      </w:r>
    </w:p>
    <w:p w:rsidR="00324B10" w:rsidRDefault="00154944">
      <w:pPr>
        <w:pStyle w:val="a7"/>
        <w:shd w:val="clear" w:color="auto" w:fill="FFFFFF"/>
        <w:spacing w:beforeAutospacing="0" w:after="0" w:afterAutospacing="0"/>
        <w:ind w:left="448" w:right="448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Про Заяву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Верховної Ради України</w:t>
      </w:r>
    </w:p>
    <w:p w:rsidR="00324B10" w:rsidRDefault="00154944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спроб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відновлення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масштабного </w:t>
      </w:r>
      <w:proofErr w:type="spellStart"/>
      <w:r>
        <w:rPr>
          <w:rFonts w:ascii="Times New Roman" w:hAnsi="Times New Roman"/>
          <w:b/>
          <w:sz w:val="28"/>
          <w:szCs w:val="28"/>
        </w:rPr>
        <w:t>водопостачання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b/>
          <w:sz w:val="28"/>
          <w:szCs w:val="28"/>
        </w:rPr>
        <w:t>Північно-Кримському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каналу  до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тимчасово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окупованих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Автономної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Республіки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Крим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</w:rPr>
        <w:t>міста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Севастополя 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b/>
          <w:sz w:val="28"/>
          <w:szCs w:val="28"/>
        </w:rPr>
        <w:t>закликів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b/>
          <w:sz w:val="28"/>
          <w:szCs w:val="28"/>
        </w:rPr>
        <w:t>нібито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потребу такого </w:t>
      </w:r>
      <w:proofErr w:type="spellStart"/>
      <w:r>
        <w:rPr>
          <w:rFonts w:ascii="Times New Roman" w:hAnsi="Times New Roman"/>
          <w:b/>
          <w:sz w:val="28"/>
          <w:szCs w:val="28"/>
        </w:rPr>
        <w:t>відновлення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24B10" w:rsidRDefault="00324B1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1. Обґрунтування необхідності прийняття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акта</w:t>
      </w:r>
      <w:proofErr w:type="spellEnd"/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Україна вже шостий рік знаходиться у стані війни з Російською Федерацією. Російська Федерація 20 лютого 2014 року розпочала збройну агресію проти України і зро</w:t>
      </w:r>
      <w:r>
        <w:rPr>
          <w:rFonts w:ascii="Times New Roman" w:hAnsi="Times New Roman"/>
          <w:bCs/>
          <w:sz w:val="28"/>
          <w:szCs w:val="28"/>
          <w:lang w:val="uk-UA"/>
        </w:rPr>
        <w:t>била спробу незаконної анексії Автономної Республіки Крим та міста Севастополя, згодом поширивши здійснення збройної агресії на окремі райони Донецької та Луганської областей, і як наслідок, окупувавши територію Автономної Республіки Крим, міста Севастопол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 та окремих регіонів Донецької та Луганської областей. </w:t>
      </w:r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Протягом окупації Кримського півострову Російська Федерація вдається до систематичних та масових порушень прав людини, а також продовжує надалі мілітаризувати півострів, збільшуючи кількість техніки </w:t>
      </w:r>
      <w:r>
        <w:rPr>
          <w:rFonts w:ascii="Times New Roman" w:hAnsi="Times New Roman"/>
          <w:sz w:val="28"/>
          <w:szCs w:val="28"/>
          <w:lang w:val="uk-UA"/>
        </w:rPr>
        <w:t>та військового контингенту на півострові. У 2018 році на Кримському півострові почався період посухи, що призвело до нестачі води для воєнних баз держави-агресора. Водночас, цивільне населення Автономної Республіки Крим та міста Севастополя є повністю забе</w:t>
      </w:r>
      <w:r>
        <w:rPr>
          <w:rFonts w:ascii="Times New Roman" w:hAnsi="Times New Roman"/>
          <w:sz w:val="28"/>
          <w:szCs w:val="28"/>
          <w:lang w:val="uk-UA"/>
        </w:rPr>
        <w:t xml:space="preserve">зпеченим водою для питних, побутових та інших потреб. </w:t>
      </w:r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Конвенції про захист цивільного населення під час війни 1949 року, держава-окупант зобов’язана за допомогою усіх наявних засобів забезпечувати населення продуктами харчування та медичним </w:t>
      </w:r>
      <w:r>
        <w:rPr>
          <w:rFonts w:ascii="Times New Roman" w:hAnsi="Times New Roman"/>
          <w:sz w:val="28"/>
          <w:szCs w:val="28"/>
          <w:lang w:val="uk-UA"/>
        </w:rPr>
        <w:t xml:space="preserve">матеріалами, постачати необхідні продукти харчування, медичні матеріали та інші припаси, якщо ресурсів окупованої території виявиться недостатньо. </w:t>
      </w:r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Натомість, останнім часом у суспільстві активно поширюються заклики відновити водопостачання на Кримський пі</w:t>
      </w:r>
      <w:r>
        <w:rPr>
          <w:rFonts w:ascii="Times New Roman" w:hAnsi="Times New Roman"/>
          <w:sz w:val="28"/>
          <w:szCs w:val="28"/>
          <w:lang w:val="uk-UA"/>
        </w:rPr>
        <w:t xml:space="preserve">вострів шляхом розблокування Північно-Кримського каналу, який до початку збройної агресії Російської Федерації забезпечував 85% потреб півострову. </w:t>
      </w:r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Верховна Рада України вважає за необхідне висловити свою публічну позицію і засудити такі заклики як такі, що не відповідають міжнародним зобов’язанням України, не спрямовані на захист прав людини, меншин чи корінних народів, та водночас суперечать державн</w:t>
      </w:r>
      <w:r>
        <w:rPr>
          <w:rFonts w:ascii="Times New Roman" w:hAnsi="Times New Roman"/>
          <w:sz w:val="28"/>
          <w:szCs w:val="28"/>
          <w:lang w:val="uk-UA"/>
        </w:rPr>
        <w:t xml:space="preserve">им інтересам України, несуть пряму шкоду суверенітетові, територіальній цілісності та недоторканності, обороноздатності, державній та економічній безпеці України. </w:t>
      </w:r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Мета і завдання прийняття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акта</w:t>
      </w:r>
      <w:proofErr w:type="spellEnd"/>
    </w:p>
    <w:p w:rsidR="00324B10" w:rsidRDefault="00154944">
      <w:pPr>
        <w:pStyle w:val="HTML0"/>
        <w:spacing w:before="120" w:after="120"/>
        <w:ind w:firstLine="709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Проект Постанови спрямований на схвалення Заяви Верховної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Ради України щодо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спроб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відновлення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масштабного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водопостачання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тимчасово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окупованих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Автономної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Республіки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Крим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міста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Севастополя та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закликів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нібито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потребу такого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відновлення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/>
        </w:rPr>
        <w:t>.</w:t>
      </w:r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3. Загальна характеристика і основні положення проекту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акта</w:t>
      </w:r>
      <w:proofErr w:type="spellEnd"/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Проектом П</w:t>
      </w:r>
      <w:r>
        <w:rPr>
          <w:rFonts w:ascii="Times New Roman" w:hAnsi="Times New Roman"/>
          <w:sz w:val="28"/>
          <w:szCs w:val="28"/>
          <w:lang w:val="uk-UA"/>
        </w:rPr>
        <w:t xml:space="preserve">останови пропонується схвалити заяву Верховної Ради України щодо </w:t>
      </w:r>
      <w:proofErr w:type="spellStart"/>
      <w:r>
        <w:rPr>
          <w:rFonts w:ascii="Times New Roman" w:hAnsi="Times New Roman"/>
          <w:sz w:val="28"/>
          <w:szCs w:val="28"/>
        </w:rPr>
        <w:t>спроб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масштабного </w:t>
      </w:r>
      <w:proofErr w:type="spellStart"/>
      <w:r>
        <w:rPr>
          <w:rFonts w:ascii="Times New Roman" w:hAnsi="Times New Roman"/>
          <w:sz w:val="28"/>
          <w:szCs w:val="28"/>
        </w:rPr>
        <w:t>водопостачання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тимчасово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окупованих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Автономної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Республіки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Крим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міста</w:t>
      </w:r>
      <w:proofErr w:type="spellEnd"/>
      <w:r>
        <w:rPr>
          <w:rFonts w:ascii="Times New Roman" w:hAnsi="Times New Roman"/>
          <w:sz w:val="28"/>
          <w:szCs w:val="28"/>
        </w:rPr>
        <w:t xml:space="preserve"> Севастополя та </w:t>
      </w:r>
      <w:proofErr w:type="spellStart"/>
      <w:r>
        <w:rPr>
          <w:rFonts w:ascii="Times New Roman" w:hAnsi="Times New Roman"/>
          <w:sz w:val="28"/>
          <w:szCs w:val="28"/>
        </w:rPr>
        <w:t>закликів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нібито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потребу такого </w:t>
      </w:r>
      <w:proofErr w:type="spellStart"/>
      <w:r>
        <w:rPr>
          <w:rFonts w:ascii="Times New Roman" w:hAnsi="Times New Roman"/>
          <w:sz w:val="28"/>
          <w:szCs w:val="28"/>
        </w:rPr>
        <w:t>відновлення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24B10" w:rsidRDefault="00154944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Стан нормативно-прав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ової бази</w:t>
      </w:r>
    </w:p>
    <w:p w:rsidR="00324B10" w:rsidRDefault="00154944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Прийняття Постанови не потребуватиме внесення змін до інших законодавчих актів України.</w:t>
      </w:r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324B10" w:rsidRDefault="00154944">
      <w:pPr>
        <w:pStyle w:val="a6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Прийняття проекту Постанови не потребуватиме додаткових видатків з Державного бюджету України. </w:t>
      </w:r>
    </w:p>
    <w:p w:rsidR="00324B10" w:rsidRDefault="0015494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6. Прогноз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соціально-економічних та інших наслідків прийняття проекту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акта</w:t>
      </w:r>
      <w:proofErr w:type="spellEnd"/>
    </w:p>
    <w:p w:rsidR="00324B10" w:rsidRDefault="0015494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Прийняття Постанови дозволить забезпечити захист державних інтересів України у протидії збройній агресії Російської Федерації та донести політичну позицію Верховної Ради України до Президента </w:t>
      </w:r>
      <w:r>
        <w:rPr>
          <w:rFonts w:ascii="Times New Roman" w:hAnsi="Times New Roman"/>
          <w:bCs/>
          <w:sz w:val="28"/>
          <w:szCs w:val="28"/>
          <w:lang w:val="uk-UA"/>
        </w:rPr>
        <w:t>України, Кабінету Міністрів України, Ради національної безпеки України та Служби безпеки України.</w:t>
      </w:r>
    </w:p>
    <w:p w:rsidR="00324B10" w:rsidRDefault="00324B10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24B10" w:rsidRDefault="00324B10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a8"/>
        <w:tblW w:w="9639" w:type="dxa"/>
        <w:tblLook w:val="04A0" w:firstRow="1" w:lastRow="0" w:firstColumn="1" w:lastColumn="0" w:noHBand="0" w:noVBand="1"/>
      </w:tblPr>
      <w:tblGrid>
        <w:gridCol w:w="4805"/>
        <w:gridCol w:w="4834"/>
      </w:tblGrid>
      <w:tr w:rsidR="00324B10"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B10" w:rsidRDefault="00154944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Calibri"/>
                <w:b/>
                <w:sz w:val="28"/>
                <w:szCs w:val="28"/>
                <w:lang w:val="uk-UA" w:eastAsia="ru-RU"/>
              </w:rPr>
              <w:t xml:space="preserve">Народні депутати України                                                     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С. Бобровська (217) 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Є.Чернєв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(26)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В. </w:t>
            </w: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Цабаль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(219)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М. Іонова (208)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Л. Василенко (224)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Ю. Клименко (210)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Я. </w:t>
            </w: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Юрчишин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(215)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А. Осадчук (220)</w:t>
            </w: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ab/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О.Жмеренецький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(321)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Я.Желєзняк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(212)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О.Устінова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(213)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К.Рудик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(211)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М.Мезенцева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(369)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І.Климпуш-Цинцадзе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(195)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Д.Гурін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(419)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І. Геращенко (188)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В.Сюмар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(201)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Р.Умєров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(225)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lastRenderedPageBreak/>
              <w:t xml:space="preserve">М. </w:t>
            </w: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Джемілєв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(191)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Д.Наталуха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(14)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А. </w:t>
            </w: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Чийгоз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(193)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Я.Рущишин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(318)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С.Вакарчук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(209)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І.Василів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(365)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С.Рахманін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(216)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О.Маріковський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(88)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Р.Костенко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(221)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>О.Стефанишина</w:t>
            </w:r>
            <w:proofErr w:type="spellEnd"/>
            <w:r w:rsidRPr="00154944"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  <w:t xml:space="preserve"> (218)</w:t>
            </w: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</w:p>
          <w:p w:rsidR="00154944" w:rsidRPr="00154944" w:rsidRDefault="00154944" w:rsidP="00154944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  <w:lang w:val="uk-UA" w:eastAsia="ru-RU"/>
              </w:rPr>
            </w:pPr>
          </w:p>
          <w:p w:rsidR="00324B10" w:rsidRDefault="00324B10">
            <w:pPr>
              <w:spacing w:after="0" w:line="259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bookmarkStart w:id="1" w:name="_GoBack"/>
            <w:bookmarkEnd w:id="1"/>
          </w:p>
          <w:p w:rsidR="00324B10" w:rsidRDefault="00324B10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sz w:val="28"/>
                <w:szCs w:val="28"/>
                <w:lang w:val="uk-UA" w:eastAsia="ru-RU"/>
              </w:rPr>
            </w:pPr>
          </w:p>
          <w:p w:rsidR="00324B10" w:rsidRDefault="00324B10">
            <w:pPr>
              <w:spacing w:after="0" w:line="259" w:lineRule="auto"/>
              <w:jc w:val="right"/>
              <w:rPr>
                <w:rFonts w:ascii="Times New Roman" w:hAnsi="Times New Roman" w:cs="Calibri"/>
                <w:b/>
                <w:sz w:val="28"/>
                <w:szCs w:val="28"/>
                <w:lang w:val="uk-UA" w:eastAsia="ru-RU"/>
              </w:rPr>
            </w:pPr>
          </w:p>
          <w:p w:rsidR="00324B10" w:rsidRDefault="00154944">
            <w:pPr>
              <w:spacing w:after="0" w:line="259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Calibri"/>
                <w:b/>
                <w:sz w:val="28"/>
                <w:szCs w:val="28"/>
                <w:lang w:val="uk-UA" w:eastAsia="ru-RU"/>
              </w:rPr>
              <w:t xml:space="preserve">   </w:t>
            </w:r>
          </w:p>
        </w:tc>
      </w:tr>
    </w:tbl>
    <w:p w:rsidR="00324B10" w:rsidRDefault="00324B10"/>
    <w:p w:rsidR="00324B10" w:rsidRDefault="00324B10"/>
    <w:sectPr w:rsidR="00324B10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ntiqua"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10"/>
    <w:rsid w:val="00154944"/>
    <w:rsid w:val="0032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778FA-94B6-4687-BDB9-5ED0754E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A94"/>
    <w:pPr>
      <w:spacing w:after="200" w:line="276" w:lineRule="auto"/>
    </w:pPr>
    <w:rPr>
      <w:rFonts w:eastAsia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ий HTML Знак"/>
    <w:basedOn w:val="a0"/>
    <w:link w:val="HTML"/>
    <w:uiPriority w:val="99"/>
    <w:qFormat/>
    <w:rsid w:val="00405A94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Noto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customStyle="1" w:styleId="a6">
    <w:name w:val="Нормальний текст"/>
    <w:basedOn w:val="a"/>
    <w:uiPriority w:val="99"/>
    <w:qFormat/>
    <w:rsid w:val="00405A94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val="uk-UA" w:eastAsia="ru-RU"/>
    </w:rPr>
  </w:style>
  <w:style w:type="paragraph" w:styleId="HTML0">
    <w:name w:val="HTML Preformatted"/>
    <w:basedOn w:val="a"/>
    <w:uiPriority w:val="99"/>
    <w:qFormat/>
    <w:rsid w:val="00405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eastAsia="ru-RU"/>
    </w:rPr>
  </w:style>
  <w:style w:type="paragraph" w:styleId="a7">
    <w:name w:val="Normal (Web)"/>
    <w:basedOn w:val="a"/>
    <w:uiPriority w:val="99"/>
    <w:semiHidden/>
    <w:unhideWhenUsed/>
    <w:qFormat/>
    <w:rsid w:val="00405A94"/>
    <w:pPr>
      <w:spacing w:beforeAutospacing="1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table" w:styleId="a8">
    <w:name w:val="Table Grid"/>
    <w:basedOn w:val="a1"/>
    <w:uiPriority w:val="39"/>
    <w:rsid w:val="00405A94"/>
    <w:rPr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2635</Words>
  <Characters>1503</Characters>
  <Application>Microsoft Office Word</Application>
  <DocSecurity>0</DocSecurity>
  <Lines>12</Lines>
  <Paragraphs>8</Paragraphs>
  <ScaleCrop>false</ScaleCrop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Бобровська Соломія Анатоліївна</cp:lastModifiedBy>
  <cp:revision>5</cp:revision>
  <cp:lastPrinted>2020-03-09T16:46:00Z</cp:lastPrinted>
  <dcterms:created xsi:type="dcterms:W3CDTF">2020-03-10T15:21:00Z</dcterms:created>
  <dcterms:modified xsi:type="dcterms:W3CDTF">2020-03-12T14:01:00Z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