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53" w:rsidRPr="00F86B5E" w:rsidRDefault="00FA4B53" w:rsidP="00D46FF7">
      <w:pPr>
        <w:widowControl w:val="0"/>
        <w:shd w:val="clear" w:color="auto" w:fill="FFFFFF"/>
        <w:autoSpaceDE w:val="0"/>
        <w:autoSpaceDN w:val="0"/>
        <w:adjustRightInd w:val="0"/>
        <w:jc w:val="center"/>
        <w:rPr>
          <w:rFonts w:ascii="Times New Roman" w:hAnsi="Times New Roman" w:cs="Times New Roman"/>
          <w:spacing w:val="0"/>
          <w:lang w:val="uk-UA"/>
        </w:rPr>
      </w:pPr>
      <w:r w:rsidRPr="00F86B5E">
        <w:rPr>
          <w:rFonts w:ascii="Times New Roman" w:hAnsi="Times New Roman" w:cs="Times New Roman"/>
          <w:b/>
          <w:bCs/>
          <w:spacing w:val="0"/>
          <w:lang w:val="uk-UA"/>
        </w:rPr>
        <w:t>ПОЯСНЮВАЛЬНА ЗАПИСКА</w:t>
      </w:r>
    </w:p>
    <w:p w:rsidR="00FA4B53" w:rsidRPr="00F86B5E" w:rsidRDefault="00FA4B53" w:rsidP="00303C1A">
      <w:pPr>
        <w:widowControl w:val="0"/>
        <w:autoSpaceDE w:val="0"/>
        <w:autoSpaceDN w:val="0"/>
        <w:adjustRightInd w:val="0"/>
        <w:jc w:val="center"/>
        <w:rPr>
          <w:rFonts w:ascii="Times New Roman" w:hAnsi="Times New Roman" w:cs="Times New Roman"/>
          <w:b/>
          <w:bCs/>
          <w:spacing w:val="0"/>
          <w:lang w:val="uk-UA"/>
        </w:rPr>
      </w:pPr>
      <w:r w:rsidRPr="00F86B5E">
        <w:rPr>
          <w:rFonts w:ascii="Times New Roman" w:hAnsi="Times New Roman" w:cs="Times New Roman"/>
          <w:b/>
          <w:bCs/>
          <w:spacing w:val="1"/>
          <w:lang w:val="uk-UA"/>
        </w:rPr>
        <w:t>до проекту Закону України "</w:t>
      </w:r>
      <w:r w:rsidRPr="00F86B5E">
        <w:rPr>
          <w:rFonts w:ascii="Times New Roman" w:hAnsi="Times New Roman" w:cs="Times New Roman"/>
          <w:b/>
          <w:bCs/>
          <w:spacing w:val="0"/>
          <w:lang w:val="uk-UA"/>
        </w:rPr>
        <w:t xml:space="preserve">Про внесення змін до Закону України </w:t>
      </w:r>
    </w:p>
    <w:p w:rsidR="00FA4B53" w:rsidRPr="00F86B5E" w:rsidRDefault="00FA4B53" w:rsidP="00303C1A">
      <w:pPr>
        <w:widowControl w:val="0"/>
        <w:autoSpaceDE w:val="0"/>
        <w:autoSpaceDN w:val="0"/>
        <w:adjustRightInd w:val="0"/>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 xml:space="preserve">"Про статус і соціальний захист громадян, які постраждали внаслідок Чорнобильської катастрофи" щодо конкретизації осіб, </w:t>
      </w:r>
    </w:p>
    <w:p w:rsidR="00FA4B53" w:rsidRPr="00F86B5E" w:rsidRDefault="00FA4B53" w:rsidP="00303C1A">
      <w:pPr>
        <w:widowControl w:val="0"/>
        <w:autoSpaceDE w:val="0"/>
        <w:autoSpaceDN w:val="0"/>
        <w:adjustRightInd w:val="0"/>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 xml:space="preserve">які мають належати до військовослужбовців та потерпілих </w:t>
      </w:r>
    </w:p>
    <w:p w:rsidR="00FA4B53" w:rsidRPr="00F86B5E" w:rsidRDefault="00FA4B53" w:rsidP="00303C1A">
      <w:pPr>
        <w:widowControl w:val="0"/>
        <w:autoSpaceDE w:val="0"/>
        <w:autoSpaceDN w:val="0"/>
        <w:adjustRightInd w:val="0"/>
        <w:jc w:val="center"/>
        <w:rPr>
          <w:rFonts w:ascii="Times New Roman" w:hAnsi="Times New Roman" w:cs="Times New Roman"/>
          <w:b/>
          <w:bCs/>
          <w:spacing w:val="1"/>
          <w:lang w:val="uk-UA"/>
        </w:rPr>
      </w:pPr>
      <w:r w:rsidRPr="00F86B5E">
        <w:rPr>
          <w:rFonts w:ascii="Times New Roman" w:hAnsi="Times New Roman" w:cs="Times New Roman"/>
          <w:b/>
          <w:bCs/>
          <w:spacing w:val="0"/>
          <w:lang w:val="uk-UA"/>
        </w:rPr>
        <w:t>від Чорнобильської катастрофи</w:t>
      </w:r>
      <w:r w:rsidRPr="00F86B5E">
        <w:rPr>
          <w:rFonts w:ascii="Times New Roman" w:hAnsi="Times New Roman" w:cs="Times New Roman"/>
          <w:b/>
          <w:bCs/>
          <w:spacing w:val="1"/>
          <w:lang w:val="uk-UA"/>
        </w:rPr>
        <w:t>"</w:t>
      </w:r>
    </w:p>
    <w:p w:rsidR="00FA4B53" w:rsidRPr="00F86B5E" w:rsidRDefault="00FA4B53" w:rsidP="00BD39B4">
      <w:pPr>
        <w:widowControl w:val="0"/>
        <w:shd w:val="clear" w:color="auto" w:fill="FFFFFF"/>
        <w:autoSpaceDE w:val="0"/>
        <w:autoSpaceDN w:val="0"/>
        <w:adjustRightInd w:val="0"/>
        <w:ind w:firstLine="567"/>
        <w:jc w:val="both"/>
        <w:rPr>
          <w:rFonts w:ascii="Times New Roman" w:hAnsi="Times New Roman" w:cs="Times New Roman"/>
          <w:spacing w:val="1"/>
          <w:lang w:val="uk-UA"/>
        </w:rPr>
      </w:pPr>
    </w:p>
    <w:p w:rsidR="00FA4B53" w:rsidRPr="00F86B5E" w:rsidRDefault="00FA4B53" w:rsidP="00D46FF7">
      <w:pPr>
        <w:widowControl w:val="0"/>
        <w:shd w:val="clear" w:color="auto" w:fill="FFFFFF"/>
        <w:autoSpaceDE w:val="0"/>
        <w:autoSpaceDN w:val="0"/>
        <w:adjustRightInd w:val="0"/>
        <w:ind w:firstLine="737"/>
        <w:rPr>
          <w:rFonts w:ascii="Times New Roman" w:hAnsi="Times New Roman" w:cs="Times New Roman"/>
          <w:b/>
          <w:bCs/>
          <w:spacing w:val="1"/>
          <w:lang w:val="uk-UA"/>
        </w:rPr>
      </w:pPr>
      <w:r w:rsidRPr="00F86B5E">
        <w:rPr>
          <w:rFonts w:ascii="Times New Roman" w:hAnsi="Times New Roman" w:cs="Times New Roman"/>
          <w:b/>
          <w:bCs/>
          <w:spacing w:val="1"/>
          <w:lang w:val="uk-UA"/>
        </w:rPr>
        <w:t>1. Обґрунтування необхідності прийняття акта</w:t>
      </w:r>
    </w:p>
    <w:p w:rsidR="00FA4B53" w:rsidRPr="00F86B5E" w:rsidRDefault="00FA4B53" w:rsidP="00DF1391">
      <w:pPr>
        <w:pStyle w:val="1"/>
        <w:spacing w:line="240" w:lineRule="auto"/>
        <w:ind w:firstLine="737"/>
        <w:jc w:val="both"/>
        <w:rPr>
          <w:rFonts w:ascii="Times New Roman" w:hAnsi="Times New Roman" w:cs="Times New Roman"/>
          <w:color w:val="auto"/>
          <w:sz w:val="28"/>
          <w:szCs w:val="28"/>
          <w:lang w:val="uk-UA"/>
        </w:rPr>
      </w:pPr>
      <w:r w:rsidRPr="00F86B5E">
        <w:rPr>
          <w:rFonts w:ascii="Times New Roman" w:hAnsi="Times New Roman" w:cs="Times New Roman"/>
          <w:color w:val="auto"/>
          <w:sz w:val="28"/>
          <w:szCs w:val="28"/>
          <w:lang w:val="uk-UA"/>
        </w:rPr>
        <w:t xml:space="preserve">Групою народних депутатів України подано на розгляд Парламенту проект Закону України "Про внесення доповнення до статті 10 Закону України "Про статус і соціальний захист громадян, які постраждали внаслідок Чорнобильської катастрофи" щодо конкретизації осіб, які мають належати до військовослужбовців" (реєстр. № 3095). </w:t>
      </w:r>
    </w:p>
    <w:p w:rsidR="00FA4B53" w:rsidRPr="00F86B5E" w:rsidRDefault="00FA4B53" w:rsidP="00DF1391">
      <w:pPr>
        <w:pStyle w:val="1"/>
        <w:spacing w:line="240" w:lineRule="auto"/>
        <w:ind w:firstLine="737"/>
        <w:jc w:val="both"/>
        <w:rPr>
          <w:rFonts w:ascii="Times New Roman" w:hAnsi="Times New Roman" w:cs="Times New Roman"/>
          <w:color w:val="auto"/>
          <w:sz w:val="28"/>
          <w:szCs w:val="28"/>
          <w:lang w:val="uk-UA"/>
        </w:rPr>
      </w:pPr>
      <w:r w:rsidRPr="00F86B5E">
        <w:rPr>
          <w:rFonts w:ascii="Times New Roman" w:hAnsi="Times New Roman" w:cs="Times New Roman"/>
          <w:color w:val="auto"/>
          <w:sz w:val="28"/>
          <w:szCs w:val="28"/>
          <w:lang w:val="uk-UA"/>
        </w:rPr>
        <w:t xml:space="preserve">Цим законопроектом пропонується доповнити примітку до статті 10 Закону України "Про статус і соціальний захист громадян, які постраждали внаслідок Чорнобильської катастрофи" (далі – Закон) нормою, згідно з якою до військовослужбовців для цілей Закону будуть віднесені особи Цивільної оборони з числа загонів спецзахисту підвищеної готовності Чернігівської, Київської та Житомирської областей, які були залучені до ліквідації наслідків аварії на ЧАЕС розпорядженням Ради Міністрів УРСР від 01.05.1986 № 3/199, та які стали </w:t>
      </w:r>
      <w:r w:rsidRPr="00F86B5E">
        <w:rPr>
          <w:rFonts w:ascii="Times New Roman" w:hAnsi="Times New Roman" w:cs="Times New Roman"/>
          <w:sz w:val="28"/>
          <w:szCs w:val="28"/>
          <w:lang w:val="uk-UA"/>
        </w:rPr>
        <w:t xml:space="preserve">особами з </w:t>
      </w:r>
      <w:r w:rsidRPr="00F86B5E">
        <w:rPr>
          <w:rFonts w:ascii="Times New Roman" w:hAnsi="Times New Roman" w:cs="Times New Roman"/>
          <w:color w:val="auto"/>
          <w:sz w:val="28"/>
          <w:szCs w:val="28"/>
          <w:lang w:val="uk-UA"/>
        </w:rPr>
        <w:t>інвалід</w:t>
      </w:r>
      <w:r w:rsidRPr="00F86B5E">
        <w:rPr>
          <w:rFonts w:ascii="Times New Roman" w:hAnsi="Times New Roman" w:cs="Times New Roman"/>
          <w:sz w:val="28"/>
          <w:szCs w:val="28"/>
          <w:lang w:val="uk-UA"/>
        </w:rPr>
        <w:t>ністю</w:t>
      </w:r>
      <w:r w:rsidRPr="00F86B5E">
        <w:rPr>
          <w:rFonts w:ascii="Times New Roman" w:hAnsi="Times New Roman" w:cs="Times New Roman"/>
          <w:color w:val="auto"/>
          <w:sz w:val="28"/>
          <w:szCs w:val="28"/>
          <w:lang w:val="uk-UA"/>
        </w:rPr>
        <w:t xml:space="preserve"> внаслідок захворювань, пов’язаних з ліквідацією наслідків Чорнобильської катастрофи.</w:t>
      </w:r>
    </w:p>
    <w:p w:rsidR="00FA4B53" w:rsidRPr="00F86B5E" w:rsidRDefault="00FA4B53" w:rsidP="00303C1A">
      <w:pPr>
        <w:pStyle w:val="1"/>
        <w:spacing w:line="240" w:lineRule="auto"/>
        <w:ind w:firstLine="737"/>
        <w:jc w:val="both"/>
        <w:rPr>
          <w:rFonts w:ascii="Times New Roman" w:hAnsi="Times New Roman" w:cs="Times New Roman"/>
          <w:color w:val="auto"/>
          <w:sz w:val="28"/>
          <w:szCs w:val="28"/>
          <w:lang w:val="uk-UA"/>
        </w:rPr>
      </w:pPr>
      <w:r w:rsidRPr="00F86B5E">
        <w:rPr>
          <w:rFonts w:ascii="Times New Roman" w:hAnsi="Times New Roman" w:cs="Times New Roman"/>
          <w:color w:val="auto"/>
          <w:sz w:val="28"/>
          <w:szCs w:val="28"/>
          <w:lang w:val="uk-UA"/>
        </w:rPr>
        <w:t>Цілком і повністю підтримуючи ідею законопроекту щодо уточнення категорій осіб, які відносяться до військовослужбовців, пропонується альтернативний проект, яким передбачено також віднести до потерпілих від аварії на Чорнобильській АЕС осіб, які після досягнення повноліття не були віднесені до встановлених статтею 14 Закону категорій</w:t>
      </w:r>
      <w:r>
        <w:rPr>
          <w:rFonts w:ascii="Times New Roman" w:hAnsi="Times New Roman" w:cs="Times New Roman"/>
          <w:color w:val="auto"/>
          <w:sz w:val="28"/>
          <w:szCs w:val="28"/>
          <w:lang w:val="uk-UA"/>
        </w:rPr>
        <w:t>,</w:t>
      </w:r>
      <w:r w:rsidRPr="00F86B5E">
        <w:rPr>
          <w:rFonts w:ascii="Times New Roman" w:hAnsi="Times New Roman" w:cs="Times New Roman"/>
          <w:color w:val="auto"/>
          <w:sz w:val="28"/>
          <w:szCs w:val="28"/>
          <w:lang w:val="uk-UA"/>
        </w:rPr>
        <w:t xml:space="preserve"> зважаючи на наступне.</w:t>
      </w:r>
    </w:p>
    <w:p w:rsidR="00FA4B53" w:rsidRPr="00F86B5E" w:rsidRDefault="00FA4B53" w:rsidP="00303C1A">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color w:val="000000"/>
          <w:spacing w:val="5"/>
          <w:lang w:val="uk-UA"/>
        </w:rPr>
        <w:t xml:space="preserve">Сьогодні в Україні проживають десятки тисяч осіб, які народилися від </w:t>
      </w:r>
      <w:r w:rsidRPr="00F86B5E">
        <w:rPr>
          <w:rFonts w:ascii="Times New Roman" w:hAnsi="Times New Roman" w:cs="Times New Roman"/>
          <w:spacing w:val="0"/>
          <w:lang w:val="uk-UA"/>
        </w:rPr>
        <w:t>учасників ліквідації наслідків аварії на Чорнобильській АЕС та евакуйованих із зони відчуження, та які після досягнення повноліття не віднесені до встановлених статтею 14 Закону категорій осіб, які постраждали внаслідок Чорнобильської катастрофи.</w:t>
      </w:r>
    </w:p>
    <w:p w:rsidR="00FA4B53" w:rsidRPr="00F86B5E" w:rsidRDefault="00FA4B53" w:rsidP="00303C1A">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spacing w:val="0"/>
          <w:lang w:val="uk-UA"/>
        </w:rPr>
        <w:t>Разом з тим, стверджувати, що такі особи не піддалися жодному радіаційному впливу не можна. З дня Чорнобильської катастрофи пройшло лише 34 роки і про наслідки впливу у найближчі десятиліття чинників, пов'язаних з аварією, на здоров'я дітей, які народилися від ліквідаторів, можна лише здогадуватися.</w:t>
      </w:r>
    </w:p>
    <w:p w:rsidR="00FA4B53" w:rsidRPr="00F86B5E" w:rsidRDefault="00FA4B53" w:rsidP="00303C1A">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spacing w:val="0"/>
          <w:lang w:val="uk-UA"/>
        </w:rPr>
        <w:t>Однозначно можна лише стверджувати, що наслідки Чорнобильської катастрофи будуть відчувати на собі не лише перше покоління народжених від ліквідаторів аварії, а й інші покоління.</w:t>
      </w:r>
    </w:p>
    <w:p w:rsidR="00FA4B53" w:rsidRPr="00F86B5E" w:rsidRDefault="00FA4B53" w:rsidP="00303C1A">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spacing w:val="0"/>
          <w:lang w:val="uk-UA"/>
        </w:rPr>
        <w:t>Тому сьогодні держава зобов’язана створити умови для моніторингу стану здоров’я таких осіб.</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autoSpaceDE w:val="0"/>
        <w:autoSpaceDN w:val="0"/>
        <w:adjustRightInd w:val="0"/>
        <w:ind w:firstLine="737"/>
        <w:jc w:val="both"/>
        <w:rPr>
          <w:rFonts w:ascii="Times New Roman" w:hAnsi="Times New Roman" w:cs="Times New Roman"/>
          <w:b/>
          <w:bCs/>
          <w:spacing w:val="0"/>
          <w:lang w:val="uk-UA"/>
        </w:rPr>
      </w:pPr>
      <w:r w:rsidRPr="00F86B5E">
        <w:rPr>
          <w:rFonts w:ascii="Times New Roman" w:hAnsi="Times New Roman" w:cs="Times New Roman"/>
          <w:b/>
          <w:bCs/>
          <w:spacing w:val="3"/>
          <w:lang w:val="uk-UA"/>
        </w:rPr>
        <w:t xml:space="preserve">2. </w:t>
      </w:r>
      <w:r w:rsidRPr="00F86B5E">
        <w:rPr>
          <w:rFonts w:ascii="Times New Roman" w:hAnsi="Times New Roman" w:cs="Times New Roman"/>
          <w:b/>
          <w:bCs/>
          <w:spacing w:val="0"/>
          <w:lang w:val="uk-UA"/>
        </w:rPr>
        <w:t>Цілі та завдання законопроекту</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spacing w:val="0"/>
          <w:lang w:val="uk-UA"/>
        </w:rPr>
        <w:t>Ціль та завдання проекту акта – посилення соціального захисту осіб, які до 18 років були віднесені до потерпілих від аварії на Чорнобильській АЕС і після досягнення повноліття не були віднесені до встановлених статтею 14 Закону категорій, а також конкретизація осіб, які належать до військовослужбовц</w:t>
      </w:r>
      <w:r w:rsidRPr="00F86B5E">
        <w:rPr>
          <w:rFonts w:ascii="Times New Roman" w:hAnsi="Times New Roman" w:cs="Times New Roman"/>
          <w:color w:val="000000"/>
          <w:spacing w:val="0"/>
          <w:lang w:val="uk-UA"/>
        </w:rPr>
        <w:t>ів.</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b/>
          <w:bCs/>
          <w:spacing w:val="1"/>
          <w:lang w:val="uk-UA"/>
        </w:rPr>
      </w:pPr>
      <w:r w:rsidRPr="00F86B5E">
        <w:rPr>
          <w:rFonts w:ascii="Times New Roman" w:hAnsi="Times New Roman" w:cs="Times New Roman"/>
          <w:b/>
          <w:bCs/>
          <w:spacing w:val="1"/>
          <w:lang w:val="uk-UA"/>
        </w:rPr>
        <w:t xml:space="preserve">3. </w:t>
      </w:r>
      <w:r w:rsidRPr="00F86B5E">
        <w:rPr>
          <w:rFonts w:ascii="Times New Roman" w:eastAsia="MS ??" w:hAnsi="Times New Roman" w:cs="Times New Roman"/>
          <w:b/>
          <w:bCs/>
          <w:spacing w:val="0"/>
          <w:lang w:val="uk-UA"/>
        </w:rPr>
        <w:t>Загальна характеристика і основні положення законопроекту</w:t>
      </w:r>
    </w:p>
    <w:p w:rsidR="00FA4B53" w:rsidRPr="00F86B5E" w:rsidRDefault="00FA4B53" w:rsidP="00303C1A">
      <w:pPr>
        <w:pStyle w:val="HTMLPreformatted"/>
        <w:ind w:firstLine="737"/>
        <w:jc w:val="both"/>
        <w:rPr>
          <w:rFonts w:ascii="Times New Roman" w:hAnsi="Times New Roman" w:cs="Times New Roman"/>
          <w:sz w:val="28"/>
          <w:szCs w:val="28"/>
        </w:rPr>
      </w:pPr>
      <w:r w:rsidRPr="00F86B5E">
        <w:rPr>
          <w:rFonts w:ascii="Times New Roman" w:hAnsi="Times New Roman" w:cs="Times New Roman"/>
          <w:sz w:val="28"/>
          <w:szCs w:val="28"/>
        </w:rPr>
        <w:t>Проектом акта передбачається:</w:t>
      </w:r>
    </w:p>
    <w:p w:rsidR="00FA4B53" w:rsidRPr="00F86B5E" w:rsidRDefault="00FA4B53" w:rsidP="00984502">
      <w:pPr>
        <w:pStyle w:val="HTMLPreformatted"/>
        <w:ind w:firstLine="737"/>
        <w:jc w:val="both"/>
        <w:rPr>
          <w:rFonts w:ascii="Times New Roman" w:hAnsi="Times New Roman" w:cs="Times New Roman"/>
        </w:rPr>
      </w:pPr>
      <w:r w:rsidRPr="00F86B5E">
        <w:rPr>
          <w:rFonts w:ascii="Times New Roman" w:hAnsi="Times New Roman" w:cs="Times New Roman"/>
          <w:sz w:val="28"/>
          <w:szCs w:val="28"/>
        </w:rPr>
        <w:t>1) Віднести</w:t>
      </w:r>
      <w:r w:rsidRPr="00F86B5E">
        <w:rPr>
          <w:rFonts w:ascii="Times New Roman" w:hAnsi="Times New Roman" w:cs="Times New Roman"/>
        </w:rPr>
        <w:t xml:space="preserve"> </w:t>
      </w:r>
      <w:r w:rsidRPr="00F86B5E">
        <w:rPr>
          <w:rFonts w:ascii="Times New Roman" w:hAnsi="Times New Roman" w:cs="Times New Roman"/>
          <w:sz w:val="28"/>
          <w:szCs w:val="28"/>
        </w:rPr>
        <w:t>до військовослужбовців, про яких йдеться у статті 10 Закону, осіб Цивільної оборони з числа загонів спецзахисту підвищеної готовності Чернігівської, Київської та Житомирської областей, які були залучені до ліквідації наслідків аварії на ЧАЕС розпорядженням Ради Міністрів УРСР від 01.05.1986 № 3/199, та які стали особами з інвалідністю внаслідок захворювань, пов’язаних з ліквідацією наслідків Чорнобильської катастрофи.</w:t>
      </w:r>
    </w:p>
    <w:p w:rsidR="00FA4B53" w:rsidRPr="00F86B5E" w:rsidRDefault="00FA4B53" w:rsidP="00303C1A">
      <w:pPr>
        <w:pStyle w:val="HTMLPreformatted"/>
        <w:ind w:firstLine="737"/>
        <w:jc w:val="both"/>
        <w:rPr>
          <w:rFonts w:ascii="Times New Roman" w:hAnsi="Times New Roman" w:cs="Times New Roman"/>
          <w:sz w:val="28"/>
          <w:szCs w:val="28"/>
        </w:rPr>
      </w:pPr>
      <w:r w:rsidRPr="00F86B5E">
        <w:rPr>
          <w:rFonts w:ascii="Times New Roman" w:hAnsi="Times New Roman" w:cs="Times New Roman"/>
          <w:sz w:val="28"/>
          <w:szCs w:val="28"/>
        </w:rPr>
        <w:t>2) Віднести до потерпілих від Чорнобильської катастрофи осіб, які народилися від учасників ліквідації наслідків аварії на Чорнобильській АЕС та евакуйованих із зони відчуження і після досягнення повноліття не були віднесені до категорій осіб, які постраждали внаслідок Чорнобильської катастрофи.</w:t>
      </w:r>
    </w:p>
    <w:p w:rsidR="00FA4B53" w:rsidRPr="00F86B5E" w:rsidRDefault="00FA4B53" w:rsidP="00303C1A">
      <w:pPr>
        <w:pStyle w:val="HTMLPreformatted"/>
        <w:ind w:firstLine="737"/>
        <w:jc w:val="both"/>
        <w:rPr>
          <w:rFonts w:ascii="Times New Roman" w:hAnsi="Times New Roman" w:cs="Times New Roman"/>
          <w:sz w:val="28"/>
          <w:szCs w:val="28"/>
        </w:rPr>
      </w:pPr>
      <w:r w:rsidRPr="00F86B5E">
        <w:rPr>
          <w:rFonts w:ascii="Times New Roman" w:hAnsi="Times New Roman" w:cs="Times New Roman"/>
          <w:sz w:val="28"/>
          <w:szCs w:val="28"/>
        </w:rPr>
        <w:t>3) Запровадити щорічне медичне обстеження (диспансеризацію) та лікування осіб, які народилися від учасників ліквідації наслідків аварії на Чорнобильській АЕС та евакуйованих із зони відчуження, і після досягнення повноліття не були віднесені до встановлених статтею 14 Закону України "Про статус і соціальний захист громадян, які постраждали внаслідок Чорнобильської катастрофи" категорій, що дозволить посилити соціальний захист таких осіб.</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b/>
          <w:bCs/>
          <w:spacing w:val="0"/>
          <w:lang w:val="uk-UA"/>
        </w:rPr>
        <w:t>4. Стан нормативно-правової бази у даній сфері правового регулювання</w:t>
      </w:r>
    </w:p>
    <w:p w:rsidR="00FA4B53" w:rsidRPr="00F86B5E" w:rsidRDefault="00FA4B53" w:rsidP="00984502">
      <w:pPr>
        <w:widowControl w:val="0"/>
        <w:shd w:val="clear" w:color="auto" w:fill="FFFFFF"/>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color w:val="000000"/>
          <w:spacing w:val="0"/>
          <w:lang w:val="uk-UA"/>
        </w:rPr>
        <w:t>У цій сфері правового регулювання діють Конституція України та Закон України "Про статус і соціальний захист громадян, які постраждали внаслідок Чорнобильської катастрофи".</w:t>
      </w:r>
      <w:r w:rsidRPr="00F86B5E">
        <w:rPr>
          <w:rFonts w:ascii="Times New Roman" w:hAnsi="Times New Roman" w:cs="Times New Roman"/>
          <w:spacing w:val="0"/>
          <w:lang w:val="uk-UA"/>
        </w:rPr>
        <w:t xml:space="preserve"> </w:t>
      </w:r>
    </w:p>
    <w:p w:rsidR="00FA4B53" w:rsidRPr="00F86B5E" w:rsidRDefault="00FA4B53" w:rsidP="00D46FF7">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spacing w:val="5"/>
          <w:lang w:val="uk-UA"/>
        </w:rPr>
        <w:t xml:space="preserve">Реалізація </w:t>
      </w:r>
      <w:r w:rsidRPr="00F86B5E">
        <w:rPr>
          <w:rFonts w:ascii="Times New Roman" w:hAnsi="Times New Roman" w:cs="Times New Roman"/>
          <w:spacing w:val="0"/>
          <w:lang w:val="uk-UA"/>
        </w:rPr>
        <w:t>проекту закону не потребуватиме внесення змін до інших законодавчих актів України.</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shd w:val="clear" w:color="auto" w:fill="FFFFFF"/>
        <w:autoSpaceDE w:val="0"/>
        <w:autoSpaceDN w:val="0"/>
        <w:adjustRightInd w:val="0"/>
        <w:ind w:firstLine="737"/>
        <w:rPr>
          <w:rFonts w:ascii="Times New Roman" w:hAnsi="Times New Roman" w:cs="Times New Roman"/>
          <w:spacing w:val="0"/>
          <w:lang w:val="uk-UA"/>
        </w:rPr>
      </w:pPr>
      <w:r w:rsidRPr="00F86B5E">
        <w:rPr>
          <w:rFonts w:ascii="Times New Roman" w:hAnsi="Times New Roman" w:cs="Times New Roman"/>
          <w:b/>
          <w:bCs/>
          <w:spacing w:val="1"/>
          <w:lang w:val="uk-UA"/>
        </w:rPr>
        <w:t>5. Фінансово-економічне обґрунтування</w:t>
      </w:r>
    </w:p>
    <w:p w:rsidR="00FA4B53" w:rsidRPr="00F86B5E" w:rsidRDefault="00FA4B53" w:rsidP="00EB683D">
      <w:pPr>
        <w:widowControl w:val="0"/>
        <w:shd w:val="clear" w:color="auto" w:fill="FFFFFF"/>
        <w:autoSpaceDE w:val="0"/>
        <w:autoSpaceDN w:val="0"/>
        <w:adjustRightInd w:val="0"/>
        <w:ind w:firstLine="737"/>
        <w:jc w:val="both"/>
        <w:rPr>
          <w:rFonts w:ascii="Times New Roman" w:hAnsi="Times New Roman" w:cs="Times New Roman"/>
          <w:spacing w:val="5"/>
          <w:lang w:val="uk-UA"/>
        </w:rPr>
      </w:pPr>
      <w:r w:rsidRPr="00F86B5E">
        <w:rPr>
          <w:rFonts w:ascii="Times New Roman" w:hAnsi="Times New Roman" w:cs="Times New Roman"/>
          <w:spacing w:val="5"/>
          <w:lang w:val="uk-UA"/>
        </w:rPr>
        <w:t xml:space="preserve">Реалізація </w:t>
      </w:r>
      <w:r w:rsidRPr="00F86B5E">
        <w:rPr>
          <w:rFonts w:ascii="Times New Roman" w:hAnsi="Times New Roman" w:cs="Times New Roman"/>
          <w:spacing w:val="0"/>
          <w:lang w:val="uk-UA"/>
        </w:rPr>
        <w:t xml:space="preserve">проекту </w:t>
      </w:r>
      <w:r w:rsidRPr="00F86B5E">
        <w:rPr>
          <w:rFonts w:ascii="Times New Roman" w:hAnsi="Times New Roman" w:cs="Times New Roman"/>
          <w:spacing w:val="5"/>
          <w:lang w:val="uk-UA"/>
        </w:rPr>
        <w:t>закону не потребуватиме додаткових видатків з Державного бюджету України у поточному році.</w:t>
      </w:r>
    </w:p>
    <w:p w:rsidR="00FA4B53" w:rsidRPr="00F86B5E" w:rsidRDefault="00FA4B53" w:rsidP="00EB683D">
      <w:pPr>
        <w:widowControl w:val="0"/>
        <w:shd w:val="clear" w:color="auto" w:fill="FFFFFF"/>
        <w:autoSpaceDE w:val="0"/>
        <w:autoSpaceDN w:val="0"/>
        <w:adjustRightInd w:val="0"/>
        <w:ind w:firstLine="737"/>
        <w:jc w:val="both"/>
        <w:rPr>
          <w:rFonts w:ascii="Times New Roman" w:hAnsi="Times New Roman" w:cs="Times New Roman"/>
          <w:spacing w:val="5"/>
          <w:lang w:val="uk-UA"/>
        </w:rPr>
      </w:pPr>
      <w:r w:rsidRPr="00F86B5E">
        <w:rPr>
          <w:rFonts w:ascii="Times New Roman" w:hAnsi="Times New Roman" w:cs="Times New Roman"/>
          <w:spacing w:val="5"/>
          <w:lang w:val="uk-UA"/>
        </w:rPr>
        <w:t xml:space="preserve">Разом з тим у Державному бюджеті України на 2021 рік мають бути враховані видатки у сумі </w:t>
      </w:r>
      <w:r w:rsidRPr="00F86B5E">
        <w:rPr>
          <w:rFonts w:ascii="Times New Roman" w:hAnsi="Times New Roman" w:cs="Times New Roman"/>
          <w:spacing w:val="0"/>
          <w:lang w:val="uk-UA"/>
        </w:rPr>
        <w:t>43 810 тис. грн.</w:t>
      </w:r>
      <w:r w:rsidRPr="00F86B5E">
        <w:rPr>
          <w:rFonts w:ascii="Times New Roman" w:hAnsi="Times New Roman" w:cs="Times New Roman"/>
          <w:b/>
          <w:bCs/>
          <w:spacing w:val="0"/>
          <w:sz w:val="20"/>
          <w:szCs w:val="20"/>
          <w:lang w:val="uk-UA"/>
        </w:rPr>
        <w:t xml:space="preserve"> </w:t>
      </w:r>
      <w:r w:rsidRPr="00F86B5E">
        <w:rPr>
          <w:rFonts w:ascii="Times New Roman" w:hAnsi="Times New Roman" w:cs="Times New Roman"/>
          <w:spacing w:val="5"/>
          <w:lang w:val="uk-UA"/>
        </w:rPr>
        <w:t>виходячи із наступних фінансово-економічних обрахунків.</w:t>
      </w:r>
    </w:p>
    <w:p w:rsidR="00FA4B53" w:rsidRPr="00F86B5E" w:rsidRDefault="00FA4B53" w:rsidP="00984502">
      <w:pPr>
        <w:jc w:val="center"/>
        <w:rPr>
          <w:rFonts w:ascii="Times New Roman" w:hAnsi="Times New Roman" w:cs="Times New Roman"/>
          <w:b/>
          <w:bCs/>
          <w:spacing w:val="0"/>
          <w:lang w:val="uk-UA"/>
        </w:rPr>
      </w:pPr>
    </w:p>
    <w:p w:rsidR="00FA4B53" w:rsidRPr="00F86B5E" w:rsidRDefault="00FA4B53" w:rsidP="00984502">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Орієнтовна чисельність осіб,</w:t>
      </w:r>
    </w:p>
    <w:p w:rsidR="00FA4B53" w:rsidRPr="00F86B5E" w:rsidRDefault="00FA4B53" w:rsidP="00984502">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які втратили статус потерпілих після досягнення повноліття</w:t>
      </w:r>
    </w:p>
    <w:p w:rsidR="00FA4B53" w:rsidRPr="00F86B5E" w:rsidRDefault="00FA4B53" w:rsidP="00984502">
      <w:pPr>
        <w:jc w:val="center"/>
        <w:rPr>
          <w:rFonts w:ascii="Times New Roman" w:hAnsi="Times New Roman" w:cs="Times New Roman"/>
          <w:b/>
          <w:bCs/>
          <w:spacing w:val="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1"/>
        <w:gridCol w:w="2581"/>
      </w:tblGrid>
      <w:tr w:rsidR="00FA4B53" w:rsidRPr="00F86B5E" w:rsidTr="004A390E">
        <w:trPr>
          <w:jc w:val="center"/>
        </w:trPr>
        <w:tc>
          <w:tcPr>
            <w:tcW w:w="6821" w:type="dxa"/>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Група спостереження</w:t>
            </w:r>
          </w:p>
        </w:tc>
        <w:tc>
          <w:tcPr>
            <w:tcW w:w="2581" w:type="dxa"/>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Чисельність осіб,</w:t>
            </w:r>
            <w:r w:rsidRPr="00F86B5E">
              <w:rPr>
                <w:rFonts w:ascii="Times New Roman" w:hAnsi="Times New Roman" w:cs="Times New Roman"/>
                <w:spacing w:val="0"/>
                <w:lang w:val="uk-UA"/>
              </w:rPr>
              <w:t xml:space="preserve"> </w:t>
            </w:r>
            <w:r w:rsidRPr="00F86B5E">
              <w:rPr>
                <w:rFonts w:ascii="Times New Roman" w:hAnsi="Times New Roman" w:cs="Times New Roman"/>
                <w:b/>
                <w:bCs/>
                <w:spacing w:val="0"/>
                <w:lang w:val="uk-UA"/>
              </w:rPr>
              <w:t>тис.</w:t>
            </w:r>
            <w:r w:rsidRPr="00F86B5E">
              <w:rPr>
                <w:rFonts w:ascii="Times New Roman" w:hAnsi="Times New Roman" w:cs="Times New Roman"/>
                <w:spacing w:val="0"/>
                <w:lang w:val="uk-UA"/>
              </w:rPr>
              <w:t xml:space="preserve"> </w:t>
            </w:r>
          </w:p>
        </w:tc>
      </w:tr>
      <w:tr w:rsidR="00FA4B53" w:rsidRPr="00F86B5E" w:rsidTr="004A390E">
        <w:trPr>
          <w:jc w:val="center"/>
        </w:trPr>
        <w:tc>
          <w:tcPr>
            <w:tcW w:w="6821" w:type="dxa"/>
          </w:tcPr>
          <w:p w:rsidR="00FA4B53" w:rsidRPr="00F86B5E" w:rsidRDefault="00FA4B53" w:rsidP="00EC7815">
            <w:pPr>
              <w:jc w:val="both"/>
              <w:rPr>
                <w:rFonts w:ascii="Times New Roman" w:hAnsi="Times New Roman" w:cs="Times New Roman"/>
                <w:spacing w:val="0"/>
                <w:lang w:val="uk-UA"/>
              </w:rPr>
            </w:pPr>
            <w:r w:rsidRPr="00F86B5E">
              <w:rPr>
                <w:rFonts w:ascii="Times New Roman" w:hAnsi="Times New Roman" w:cs="Times New Roman"/>
                <w:spacing w:val="0"/>
                <w:lang w:val="uk-UA"/>
              </w:rPr>
              <w:t>1. Особи, які народилися від учасник</w:t>
            </w:r>
            <w:r>
              <w:rPr>
                <w:rFonts w:ascii="Times New Roman" w:hAnsi="Times New Roman" w:cs="Times New Roman"/>
                <w:spacing w:val="0"/>
                <w:lang w:val="uk-UA"/>
              </w:rPr>
              <w:t>ів</w:t>
            </w:r>
            <w:r w:rsidRPr="00F86B5E">
              <w:rPr>
                <w:rFonts w:ascii="Times New Roman" w:hAnsi="Times New Roman" w:cs="Times New Roman"/>
                <w:spacing w:val="0"/>
                <w:lang w:val="uk-UA"/>
              </w:rPr>
              <w:t xml:space="preserve"> ліквідації наслідків аварії на Чорнобильській АЕС </w:t>
            </w:r>
          </w:p>
        </w:tc>
        <w:tc>
          <w:tcPr>
            <w:tcW w:w="2581"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 xml:space="preserve">50,5 </w:t>
            </w:r>
          </w:p>
        </w:tc>
      </w:tr>
      <w:tr w:rsidR="00FA4B53" w:rsidRPr="00F86B5E" w:rsidTr="004A390E">
        <w:trPr>
          <w:jc w:val="center"/>
        </w:trPr>
        <w:tc>
          <w:tcPr>
            <w:tcW w:w="6821" w:type="dxa"/>
          </w:tcPr>
          <w:p w:rsidR="00FA4B53" w:rsidRPr="00F86B5E" w:rsidRDefault="00FA4B53" w:rsidP="00EC7815">
            <w:pPr>
              <w:jc w:val="both"/>
              <w:rPr>
                <w:rFonts w:ascii="Times New Roman" w:hAnsi="Times New Roman" w:cs="Times New Roman"/>
                <w:spacing w:val="0"/>
                <w:lang w:val="uk-UA"/>
              </w:rPr>
            </w:pPr>
            <w:r w:rsidRPr="00F86B5E">
              <w:rPr>
                <w:rFonts w:ascii="Times New Roman" w:hAnsi="Times New Roman" w:cs="Times New Roman"/>
                <w:spacing w:val="0"/>
                <w:lang w:val="uk-UA"/>
              </w:rPr>
              <w:t>2. Особи, які народилися від евакуйованих із зони відчуження</w:t>
            </w:r>
          </w:p>
        </w:tc>
        <w:tc>
          <w:tcPr>
            <w:tcW w:w="2581"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16,9</w:t>
            </w:r>
          </w:p>
        </w:tc>
      </w:tr>
      <w:tr w:rsidR="00FA4B53" w:rsidRPr="00F86B5E" w:rsidTr="004A390E">
        <w:trPr>
          <w:jc w:val="center"/>
        </w:trPr>
        <w:tc>
          <w:tcPr>
            <w:tcW w:w="6821" w:type="dxa"/>
          </w:tcPr>
          <w:p w:rsidR="00FA4B53" w:rsidRPr="00F86B5E" w:rsidRDefault="00FA4B53" w:rsidP="00EC7815">
            <w:pPr>
              <w:jc w:val="both"/>
              <w:rPr>
                <w:rFonts w:ascii="Times New Roman" w:hAnsi="Times New Roman" w:cs="Times New Roman"/>
                <w:b/>
                <w:bCs/>
                <w:spacing w:val="0"/>
                <w:lang w:val="uk-UA"/>
              </w:rPr>
            </w:pPr>
            <w:r w:rsidRPr="00F86B5E">
              <w:rPr>
                <w:rFonts w:ascii="Times New Roman" w:hAnsi="Times New Roman" w:cs="Times New Roman"/>
                <w:b/>
                <w:bCs/>
                <w:spacing w:val="0"/>
                <w:lang w:val="uk-UA"/>
              </w:rPr>
              <w:t>Всього:</w:t>
            </w:r>
          </w:p>
        </w:tc>
        <w:tc>
          <w:tcPr>
            <w:tcW w:w="2581" w:type="dxa"/>
            <w:vAlign w:val="center"/>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67,4</w:t>
            </w:r>
          </w:p>
        </w:tc>
      </w:tr>
    </w:tbl>
    <w:p w:rsidR="00FA4B53" w:rsidRPr="00F86B5E" w:rsidRDefault="00FA4B53" w:rsidP="00984502">
      <w:pPr>
        <w:ind w:firstLine="851"/>
        <w:jc w:val="both"/>
        <w:rPr>
          <w:rFonts w:ascii="Times New Roman" w:hAnsi="Times New Roman" w:cs="Times New Roman"/>
          <w:spacing w:val="0"/>
          <w:sz w:val="26"/>
          <w:szCs w:val="26"/>
          <w:lang w:val="uk-UA"/>
        </w:rPr>
      </w:pPr>
    </w:p>
    <w:p w:rsidR="00FA4B53" w:rsidRPr="00F86B5E" w:rsidRDefault="00FA4B53" w:rsidP="00984502">
      <w:pPr>
        <w:widowControl w:val="0"/>
        <w:autoSpaceDE w:val="0"/>
        <w:autoSpaceDN w:val="0"/>
        <w:adjustRightInd w:val="0"/>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 xml:space="preserve">Фінансово-економічні розрахунки щодо медичного забезпечення і </w:t>
      </w:r>
    </w:p>
    <w:p w:rsidR="00FA4B53" w:rsidRPr="00F86B5E" w:rsidRDefault="00FA4B53" w:rsidP="00984502">
      <w:pPr>
        <w:widowControl w:val="0"/>
        <w:autoSpaceDE w:val="0"/>
        <w:autoSpaceDN w:val="0"/>
        <w:adjustRightInd w:val="0"/>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моніторингу стану здоров’я осіб (перше покоління) 67,4 тис. осіб, які втратили статус потерпілих після досягнення 18 років</w:t>
      </w:r>
    </w:p>
    <w:p w:rsidR="00FA4B53" w:rsidRPr="00F86B5E" w:rsidRDefault="00FA4B53" w:rsidP="00984502">
      <w:pPr>
        <w:ind w:firstLine="851"/>
        <w:jc w:val="both"/>
        <w:rPr>
          <w:rFonts w:ascii="Times New Roman" w:hAnsi="Times New Roman" w:cs="Times New Roman"/>
          <w:spacing w:val="0"/>
          <w:lang w:val="uk-UA"/>
        </w:rPr>
      </w:pPr>
    </w:p>
    <w:tbl>
      <w:tblPr>
        <w:tblW w:w="93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gridCol w:w="1676"/>
        <w:gridCol w:w="1744"/>
      </w:tblGrid>
      <w:tr w:rsidR="00FA4B53" w:rsidRPr="00F86B5E" w:rsidTr="004A390E">
        <w:tc>
          <w:tcPr>
            <w:tcW w:w="5940" w:type="dxa"/>
            <w:vAlign w:val="center"/>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Напрямки фінансування</w:t>
            </w:r>
          </w:p>
        </w:tc>
        <w:tc>
          <w:tcPr>
            <w:tcW w:w="1676" w:type="dxa"/>
            <w:vAlign w:val="center"/>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Вартість за 1 особу, грн.</w:t>
            </w:r>
          </w:p>
        </w:tc>
        <w:tc>
          <w:tcPr>
            <w:tcW w:w="1744" w:type="dxa"/>
            <w:vAlign w:val="center"/>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Сумарна вартість, тис. грн./рік.</w:t>
            </w:r>
          </w:p>
        </w:tc>
      </w:tr>
      <w:tr w:rsidR="00FA4B53" w:rsidRPr="00F86B5E" w:rsidTr="004A390E">
        <w:tc>
          <w:tcPr>
            <w:tcW w:w="5940" w:type="dxa"/>
          </w:tcPr>
          <w:p w:rsidR="00FA4B53" w:rsidRPr="00F86B5E" w:rsidRDefault="00FA4B53" w:rsidP="00EC7815">
            <w:pPr>
              <w:jc w:val="both"/>
              <w:rPr>
                <w:rFonts w:ascii="Times New Roman" w:hAnsi="Times New Roman" w:cs="Times New Roman"/>
                <w:spacing w:val="0"/>
                <w:lang w:val="uk-UA"/>
              </w:rPr>
            </w:pPr>
            <w:r w:rsidRPr="00F86B5E">
              <w:rPr>
                <w:rFonts w:ascii="Times New Roman" w:hAnsi="Times New Roman" w:cs="Times New Roman"/>
                <w:spacing w:val="0"/>
                <w:lang w:val="uk-UA"/>
              </w:rPr>
              <w:t xml:space="preserve">Моніторинг стану здоров’я (щорічне диспансерне медичне обстеження) </w:t>
            </w:r>
          </w:p>
        </w:tc>
        <w:tc>
          <w:tcPr>
            <w:tcW w:w="1676"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500,0</w:t>
            </w:r>
          </w:p>
        </w:tc>
        <w:tc>
          <w:tcPr>
            <w:tcW w:w="1744"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33 700</w:t>
            </w:r>
          </w:p>
        </w:tc>
      </w:tr>
      <w:tr w:rsidR="00FA4B53" w:rsidRPr="00F86B5E" w:rsidTr="004A390E">
        <w:tc>
          <w:tcPr>
            <w:tcW w:w="5940" w:type="dxa"/>
          </w:tcPr>
          <w:p w:rsidR="00FA4B53" w:rsidRPr="00F86B5E" w:rsidRDefault="00FA4B53" w:rsidP="00EC7815">
            <w:pPr>
              <w:jc w:val="both"/>
              <w:rPr>
                <w:rFonts w:ascii="Times New Roman" w:hAnsi="Times New Roman" w:cs="Times New Roman"/>
                <w:spacing w:val="0"/>
                <w:lang w:val="uk-UA"/>
              </w:rPr>
            </w:pPr>
            <w:r w:rsidRPr="00F86B5E">
              <w:rPr>
                <w:rFonts w:ascii="Times New Roman" w:hAnsi="Times New Roman" w:cs="Times New Roman"/>
                <w:spacing w:val="0"/>
                <w:lang w:val="uk-UA"/>
              </w:rPr>
              <w:t>Стаціонарне обстеження та лікування (за потребою)*</w:t>
            </w:r>
          </w:p>
        </w:tc>
        <w:tc>
          <w:tcPr>
            <w:tcW w:w="1676"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3000,0</w:t>
            </w:r>
          </w:p>
        </w:tc>
        <w:tc>
          <w:tcPr>
            <w:tcW w:w="1744" w:type="dxa"/>
            <w:vAlign w:val="center"/>
          </w:tcPr>
          <w:p w:rsidR="00FA4B53" w:rsidRPr="00F86B5E" w:rsidRDefault="00FA4B53" w:rsidP="00EC7815">
            <w:pPr>
              <w:jc w:val="center"/>
              <w:rPr>
                <w:rFonts w:ascii="Times New Roman" w:hAnsi="Times New Roman" w:cs="Times New Roman"/>
                <w:spacing w:val="0"/>
                <w:lang w:val="uk-UA"/>
              </w:rPr>
            </w:pPr>
            <w:r w:rsidRPr="00F86B5E">
              <w:rPr>
                <w:rFonts w:ascii="Times New Roman" w:hAnsi="Times New Roman" w:cs="Times New Roman"/>
                <w:spacing w:val="0"/>
                <w:lang w:val="uk-UA"/>
              </w:rPr>
              <w:t>10 110</w:t>
            </w:r>
          </w:p>
        </w:tc>
      </w:tr>
      <w:tr w:rsidR="00FA4B53" w:rsidRPr="00F86B5E" w:rsidTr="004A390E">
        <w:tc>
          <w:tcPr>
            <w:tcW w:w="5940" w:type="dxa"/>
          </w:tcPr>
          <w:p w:rsidR="00FA4B53" w:rsidRPr="00F86B5E" w:rsidRDefault="00FA4B53" w:rsidP="00EC7815">
            <w:pPr>
              <w:jc w:val="both"/>
              <w:rPr>
                <w:rFonts w:ascii="Times New Roman" w:hAnsi="Times New Roman" w:cs="Times New Roman"/>
                <w:b/>
                <w:bCs/>
                <w:spacing w:val="0"/>
                <w:lang w:val="uk-UA"/>
              </w:rPr>
            </w:pPr>
            <w:r w:rsidRPr="00F86B5E">
              <w:rPr>
                <w:rFonts w:ascii="Times New Roman" w:hAnsi="Times New Roman" w:cs="Times New Roman"/>
                <w:b/>
                <w:bCs/>
                <w:spacing w:val="0"/>
                <w:lang w:val="uk-UA"/>
              </w:rPr>
              <w:t>Всього:</w:t>
            </w:r>
          </w:p>
        </w:tc>
        <w:tc>
          <w:tcPr>
            <w:tcW w:w="1676" w:type="dxa"/>
            <w:vAlign w:val="center"/>
          </w:tcPr>
          <w:p w:rsidR="00FA4B53" w:rsidRPr="00F86B5E" w:rsidRDefault="00FA4B53" w:rsidP="00EC7815">
            <w:pPr>
              <w:jc w:val="center"/>
              <w:rPr>
                <w:rFonts w:ascii="Times New Roman" w:hAnsi="Times New Roman" w:cs="Times New Roman"/>
                <w:b/>
                <w:bCs/>
                <w:spacing w:val="0"/>
                <w:lang w:val="uk-UA"/>
              </w:rPr>
            </w:pPr>
          </w:p>
        </w:tc>
        <w:tc>
          <w:tcPr>
            <w:tcW w:w="1744" w:type="dxa"/>
            <w:vAlign w:val="center"/>
          </w:tcPr>
          <w:p w:rsidR="00FA4B53" w:rsidRPr="00F86B5E" w:rsidRDefault="00FA4B53" w:rsidP="00EC7815">
            <w:pPr>
              <w:jc w:val="center"/>
              <w:rPr>
                <w:rFonts w:ascii="Times New Roman" w:hAnsi="Times New Roman" w:cs="Times New Roman"/>
                <w:b/>
                <w:bCs/>
                <w:spacing w:val="0"/>
                <w:lang w:val="uk-UA"/>
              </w:rPr>
            </w:pPr>
            <w:r w:rsidRPr="00F86B5E">
              <w:rPr>
                <w:rFonts w:ascii="Times New Roman" w:hAnsi="Times New Roman" w:cs="Times New Roman"/>
                <w:b/>
                <w:bCs/>
                <w:spacing w:val="0"/>
                <w:lang w:val="uk-UA"/>
              </w:rPr>
              <w:t xml:space="preserve">43 810 </w:t>
            </w:r>
          </w:p>
        </w:tc>
      </w:tr>
    </w:tbl>
    <w:p w:rsidR="00FA4B53" w:rsidRPr="00F86B5E" w:rsidRDefault="00FA4B53" w:rsidP="00984502">
      <w:pPr>
        <w:ind w:firstLine="851"/>
        <w:jc w:val="both"/>
        <w:rPr>
          <w:rFonts w:ascii="Times New Roman" w:hAnsi="Times New Roman" w:cs="Times New Roman"/>
          <w:spacing w:val="0"/>
          <w:lang w:val="uk-UA"/>
        </w:rPr>
      </w:pPr>
      <w:r w:rsidRPr="00F86B5E">
        <w:rPr>
          <w:rFonts w:ascii="Times New Roman" w:hAnsi="Times New Roman" w:cs="Times New Roman"/>
          <w:i/>
          <w:iCs/>
          <w:spacing w:val="0"/>
          <w:lang w:val="uk-UA"/>
        </w:rPr>
        <w:t>Примітка</w:t>
      </w:r>
      <w:r w:rsidRPr="00F86B5E">
        <w:rPr>
          <w:rFonts w:ascii="Times New Roman" w:hAnsi="Times New Roman" w:cs="Times New Roman"/>
          <w:spacing w:val="0"/>
          <w:lang w:val="uk-UA"/>
        </w:rPr>
        <w:t>*</w:t>
      </w:r>
      <w:r w:rsidRPr="00F86B5E">
        <w:rPr>
          <w:rFonts w:ascii="Times New Roman" w:hAnsi="Times New Roman" w:cs="Times New Roman"/>
          <w:i/>
          <w:iCs/>
          <w:spacing w:val="0"/>
          <w:lang w:val="uk-UA"/>
        </w:rPr>
        <w:t>:</w:t>
      </w:r>
      <w:r w:rsidRPr="00F86B5E">
        <w:rPr>
          <w:rFonts w:ascii="Times New Roman" w:hAnsi="Times New Roman" w:cs="Times New Roman"/>
          <w:spacing w:val="0"/>
          <w:lang w:val="uk-UA"/>
        </w:rPr>
        <w:t xml:space="preserve"> орієнтовно взято 5% від загальної чисельності осіб                   (67,4 х 5% =3,37 тис. осіб).</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p>
    <w:p w:rsidR="00FA4B53" w:rsidRPr="00F86B5E" w:rsidRDefault="00FA4B53" w:rsidP="00D46FF7">
      <w:pPr>
        <w:widowControl w:val="0"/>
        <w:tabs>
          <w:tab w:val="left" w:pos="851"/>
          <w:tab w:val="left" w:pos="1134"/>
          <w:tab w:val="left" w:pos="1276"/>
        </w:tabs>
        <w:autoSpaceDE w:val="0"/>
        <w:autoSpaceDN w:val="0"/>
        <w:adjustRightInd w:val="0"/>
        <w:ind w:firstLine="737"/>
        <w:jc w:val="both"/>
        <w:rPr>
          <w:rFonts w:ascii="Times New Roman" w:hAnsi="Times New Roman" w:cs="Times New Roman"/>
          <w:b/>
          <w:bCs/>
          <w:spacing w:val="0"/>
          <w:lang w:val="uk-UA"/>
        </w:rPr>
      </w:pPr>
      <w:r w:rsidRPr="00F86B5E">
        <w:rPr>
          <w:rFonts w:ascii="Times New Roman" w:hAnsi="Times New Roman" w:cs="Times New Roman"/>
          <w:b/>
          <w:bCs/>
          <w:spacing w:val="2"/>
          <w:lang w:val="uk-UA"/>
        </w:rPr>
        <w:t xml:space="preserve">6. </w:t>
      </w:r>
      <w:r w:rsidRPr="00F86B5E">
        <w:rPr>
          <w:rFonts w:ascii="Times New Roman" w:hAnsi="Times New Roman" w:cs="Times New Roman"/>
          <w:b/>
          <w:bCs/>
          <w:spacing w:val="0"/>
          <w:lang w:val="uk-UA"/>
        </w:rPr>
        <w:t>Прогноз соціально-економічних та інших наслідків прийняття Закону</w:t>
      </w:r>
    </w:p>
    <w:p w:rsidR="00FA4B53" w:rsidRPr="00F86B5E" w:rsidRDefault="00FA4B53" w:rsidP="00F86B5E">
      <w:pPr>
        <w:widowControl w:val="0"/>
        <w:autoSpaceDE w:val="0"/>
        <w:autoSpaceDN w:val="0"/>
        <w:adjustRightInd w:val="0"/>
        <w:ind w:firstLine="737"/>
        <w:jc w:val="both"/>
        <w:rPr>
          <w:rFonts w:ascii="Times New Roman" w:hAnsi="Times New Roman" w:cs="Times New Roman"/>
          <w:spacing w:val="0"/>
          <w:lang w:val="uk-UA"/>
        </w:rPr>
      </w:pPr>
      <w:r w:rsidRPr="00F86B5E">
        <w:rPr>
          <w:rFonts w:ascii="Times New Roman" w:hAnsi="Times New Roman" w:cs="Times New Roman"/>
          <w:color w:val="000000"/>
          <w:spacing w:val="0"/>
          <w:lang w:val="uk-UA"/>
        </w:rPr>
        <w:t xml:space="preserve">Прийняття акта дозволить створити умови для </w:t>
      </w:r>
      <w:r w:rsidRPr="00F86B5E">
        <w:rPr>
          <w:rFonts w:ascii="Times New Roman" w:hAnsi="Times New Roman" w:cs="Times New Roman"/>
          <w:spacing w:val="0"/>
          <w:lang w:val="uk-UA"/>
        </w:rPr>
        <w:t xml:space="preserve">моніторингу стану здоров’я повнолітніх дітей, які народилися від учасників ліквідації наслідків аварії на Чорнобильській АЕС та евакуйованих із зони відчуження, а також їх лікування у спеціалізованих медичних закладах, що забезпечують лікування чорнобильців, що у свою чергу </w:t>
      </w:r>
      <w:r w:rsidRPr="00F86B5E">
        <w:rPr>
          <w:rFonts w:ascii="Times New Roman" w:hAnsi="Times New Roman" w:cs="Times New Roman"/>
          <w:color w:val="000000"/>
          <w:spacing w:val="0"/>
          <w:lang w:val="uk-UA"/>
        </w:rPr>
        <w:t>посилить соціальний захист цієї категорії осіб.</w:t>
      </w:r>
    </w:p>
    <w:p w:rsidR="00FA4B53" w:rsidRPr="00F86B5E" w:rsidRDefault="00FA4B53" w:rsidP="00D46FF7">
      <w:pPr>
        <w:widowControl w:val="0"/>
        <w:shd w:val="clear" w:color="auto" w:fill="FFFFFF"/>
        <w:autoSpaceDE w:val="0"/>
        <w:autoSpaceDN w:val="0"/>
        <w:adjustRightInd w:val="0"/>
        <w:ind w:firstLine="737"/>
        <w:jc w:val="both"/>
        <w:rPr>
          <w:rFonts w:ascii="Times New Roman" w:hAnsi="Times New Roman" w:cs="Times New Roman"/>
          <w:spacing w:val="0"/>
          <w:lang w:val="uk-UA"/>
        </w:rPr>
      </w:pPr>
      <w:r>
        <w:rPr>
          <w:rFonts w:ascii="Times New Roman" w:hAnsi="Times New Roman" w:cs="Times New Roman"/>
          <w:spacing w:val="0"/>
          <w:lang w:val="uk-UA"/>
        </w:rPr>
        <w:t xml:space="preserve">Крім того, завдяки його реалізації акта буде вирішено питання соціального захисту </w:t>
      </w:r>
      <w:r w:rsidRPr="00F86B5E">
        <w:rPr>
          <w:rFonts w:ascii="Times New Roman" w:hAnsi="Times New Roman" w:cs="Times New Roman"/>
          <w:spacing w:val="0"/>
          <w:lang w:val="uk-UA"/>
        </w:rPr>
        <w:t>осіб Цивільної оборони з числа загонів спецзахисту підвищеної готовності Чернігівської, Київської та Житомирської областей, які були залучені до ліквідації наслідків аварії на ЧАЕС розпорядженням Ради Міністрів УРСР від 01.05.1986 № 3/199, та які стали особами з інвалідністю внаслідок захворювань, пов’язаних з ліквідацією наслідків Чорнобильської катастрофи.</w:t>
      </w:r>
    </w:p>
    <w:p w:rsidR="00FA4B53" w:rsidRPr="00F86B5E" w:rsidRDefault="00FA4B53" w:rsidP="00BD39B4">
      <w:pPr>
        <w:widowControl w:val="0"/>
        <w:autoSpaceDE w:val="0"/>
        <w:autoSpaceDN w:val="0"/>
        <w:adjustRightInd w:val="0"/>
        <w:ind w:firstLine="567"/>
        <w:jc w:val="both"/>
        <w:rPr>
          <w:rFonts w:ascii="Times New Roman" w:hAnsi="Times New Roman" w:cs="Times New Roman"/>
          <w:spacing w:val="0"/>
          <w:sz w:val="40"/>
          <w:szCs w:val="40"/>
          <w:lang w:val="uk-UA"/>
        </w:rPr>
      </w:pPr>
    </w:p>
    <w:p w:rsidR="00FA4B53" w:rsidRPr="00F86B5E" w:rsidRDefault="00FA4B53" w:rsidP="00D46FF7">
      <w:pPr>
        <w:widowControl w:val="0"/>
        <w:autoSpaceDE w:val="0"/>
        <w:autoSpaceDN w:val="0"/>
        <w:adjustRightInd w:val="0"/>
        <w:jc w:val="both"/>
        <w:rPr>
          <w:rFonts w:ascii="Times New Roman" w:hAnsi="Times New Roman" w:cs="Times New Roman"/>
          <w:b/>
          <w:bCs/>
          <w:spacing w:val="0"/>
          <w:lang w:val="uk-UA"/>
        </w:rPr>
      </w:pPr>
      <w:r w:rsidRPr="00F86B5E">
        <w:rPr>
          <w:rFonts w:ascii="Times New Roman" w:hAnsi="Times New Roman" w:cs="Times New Roman"/>
          <w:b/>
          <w:bCs/>
          <w:spacing w:val="0"/>
          <w:lang w:val="uk-UA"/>
        </w:rPr>
        <w:t>Народний депутат України                                                  Королевська Н.Ю.</w:t>
      </w:r>
    </w:p>
    <w:sectPr w:rsidR="00FA4B53" w:rsidRPr="00F86B5E" w:rsidSect="00B470BE">
      <w:headerReference w:type="default" r:id="rId6"/>
      <w:pgSz w:w="11909" w:h="16834"/>
      <w:pgMar w:top="1134" w:right="851" w:bottom="1135"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B53" w:rsidRDefault="00FA4B53">
      <w:pPr>
        <w:widowControl w:val="0"/>
        <w:autoSpaceDE w:val="0"/>
        <w:autoSpaceDN w:val="0"/>
        <w:adjustRightInd w:val="0"/>
        <w:rPr>
          <w:rFonts w:ascii="Times New Roman" w:hAnsi="Times New Roman" w:cs="Times New Roman"/>
          <w:spacing w:val="0"/>
          <w:sz w:val="20"/>
          <w:szCs w:val="20"/>
        </w:rPr>
      </w:pPr>
      <w:r>
        <w:rPr>
          <w:rFonts w:ascii="Times New Roman" w:hAnsi="Times New Roman" w:cs="Times New Roman"/>
          <w:spacing w:val="0"/>
          <w:sz w:val="20"/>
          <w:szCs w:val="20"/>
        </w:rPr>
        <w:separator/>
      </w:r>
    </w:p>
  </w:endnote>
  <w:endnote w:type="continuationSeparator" w:id="0">
    <w:p w:rsidR="00FA4B53" w:rsidRDefault="00FA4B53">
      <w:pPr>
        <w:widowControl w:val="0"/>
        <w:autoSpaceDE w:val="0"/>
        <w:autoSpaceDN w:val="0"/>
        <w:adjustRightInd w:val="0"/>
        <w:rPr>
          <w:rFonts w:ascii="Times New Roman" w:hAnsi="Times New Roman" w:cs="Times New Roman"/>
          <w:spacing w:val="0"/>
          <w:sz w:val="20"/>
          <w:szCs w:val="20"/>
        </w:rPr>
      </w:pPr>
      <w:r>
        <w:rPr>
          <w:rFonts w:ascii="Times New Roman" w:hAnsi="Times New Roman" w:cs="Times New Roman"/>
          <w:spacing w:val="0"/>
          <w:sz w:val="20"/>
          <w:szCs w:val="2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sburg">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B53" w:rsidRDefault="00FA4B53">
      <w:pPr>
        <w:widowControl w:val="0"/>
        <w:autoSpaceDE w:val="0"/>
        <w:autoSpaceDN w:val="0"/>
        <w:adjustRightInd w:val="0"/>
        <w:rPr>
          <w:rFonts w:ascii="Times New Roman" w:hAnsi="Times New Roman" w:cs="Times New Roman"/>
          <w:spacing w:val="0"/>
          <w:sz w:val="20"/>
          <w:szCs w:val="20"/>
        </w:rPr>
      </w:pPr>
      <w:r>
        <w:rPr>
          <w:rFonts w:ascii="Times New Roman" w:hAnsi="Times New Roman" w:cs="Times New Roman"/>
          <w:spacing w:val="0"/>
          <w:sz w:val="20"/>
          <w:szCs w:val="20"/>
        </w:rPr>
        <w:separator/>
      </w:r>
    </w:p>
  </w:footnote>
  <w:footnote w:type="continuationSeparator" w:id="0">
    <w:p w:rsidR="00FA4B53" w:rsidRDefault="00FA4B53">
      <w:pPr>
        <w:widowControl w:val="0"/>
        <w:autoSpaceDE w:val="0"/>
        <w:autoSpaceDN w:val="0"/>
        <w:adjustRightInd w:val="0"/>
        <w:rPr>
          <w:rFonts w:ascii="Times New Roman" w:hAnsi="Times New Roman" w:cs="Times New Roman"/>
          <w:spacing w:val="0"/>
          <w:sz w:val="20"/>
          <w:szCs w:val="20"/>
        </w:rPr>
      </w:pPr>
      <w:r>
        <w:rPr>
          <w:rFonts w:ascii="Times New Roman" w:hAnsi="Times New Roman" w:cs="Times New Roman"/>
          <w:spacing w:val="0"/>
          <w:sz w:val="20"/>
          <w:szCs w:val="2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53" w:rsidRPr="00FD502E" w:rsidRDefault="00FA4B53">
    <w:pPr>
      <w:pStyle w:val="Header"/>
      <w:jc w:val="center"/>
      <w:rPr>
        <w:rFonts w:cs="Times New Roman"/>
        <w:sz w:val="28"/>
        <w:szCs w:val="28"/>
      </w:rPr>
    </w:pPr>
    <w:r w:rsidRPr="00FD502E">
      <w:rPr>
        <w:rFonts w:cs="Times New Roman"/>
        <w:sz w:val="28"/>
        <w:szCs w:val="28"/>
      </w:rPr>
      <w:fldChar w:fldCharType="begin"/>
    </w:r>
    <w:r w:rsidRPr="00FD502E">
      <w:rPr>
        <w:rFonts w:cs="Times New Roman"/>
        <w:sz w:val="28"/>
        <w:szCs w:val="28"/>
      </w:rPr>
      <w:instrText>PAGE   \* MERGEFORMAT</w:instrText>
    </w:r>
    <w:r w:rsidRPr="00FD502E">
      <w:rPr>
        <w:rFonts w:cs="Times New Roman"/>
        <w:sz w:val="28"/>
        <w:szCs w:val="28"/>
      </w:rPr>
      <w:fldChar w:fldCharType="separate"/>
    </w:r>
    <w:r w:rsidRPr="004A390E">
      <w:rPr>
        <w:rFonts w:cs="Times New Roman"/>
        <w:noProof/>
        <w:sz w:val="28"/>
        <w:szCs w:val="28"/>
        <w:lang w:val="uk-UA"/>
      </w:rPr>
      <w:t>3</w:t>
    </w:r>
    <w:r w:rsidRPr="00FD502E">
      <w:rPr>
        <w:rFonts w:cs="Times New Roman"/>
        <w:sz w:val="28"/>
        <w:szCs w:val="28"/>
      </w:rPr>
      <w:fldChar w:fldCharType="end"/>
    </w:r>
  </w:p>
  <w:p w:rsidR="00FA4B53" w:rsidRPr="003C4E59" w:rsidRDefault="00FA4B53" w:rsidP="00FD502E">
    <w:pPr>
      <w:pStyle w:val="Header"/>
      <w:tabs>
        <w:tab w:val="clear" w:pos="4677"/>
        <w:tab w:val="center" w:pos="4253"/>
      </w:tabs>
      <w:jc w:val="right"/>
      <w:rPr>
        <w:rFonts w:cs="Times New Roman"/>
        <w:color w:val="808080"/>
        <w:lang w:val="uk-U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FC6"/>
    <w:rsid w:val="0003392A"/>
    <w:rsid w:val="00047A58"/>
    <w:rsid w:val="00070E2F"/>
    <w:rsid w:val="00077B98"/>
    <w:rsid w:val="00094AB2"/>
    <w:rsid w:val="000A0F4E"/>
    <w:rsid w:val="000B4790"/>
    <w:rsid w:val="000E1A1B"/>
    <w:rsid w:val="000F710D"/>
    <w:rsid w:val="001308FC"/>
    <w:rsid w:val="0014216B"/>
    <w:rsid w:val="00156896"/>
    <w:rsid w:val="00156E98"/>
    <w:rsid w:val="0017348C"/>
    <w:rsid w:val="00176A61"/>
    <w:rsid w:val="00181B7F"/>
    <w:rsid w:val="001A2020"/>
    <w:rsid w:val="001D0CB9"/>
    <w:rsid w:val="001E5A96"/>
    <w:rsid w:val="001E77A7"/>
    <w:rsid w:val="002178FA"/>
    <w:rsid w:val="0025112B"/>
    <w:rsid w:val="002A485A"/>
    <w:rsid w:val="002C2C9A"/>
    <w:rsid w:val="002E4FD3"/>
    <w:rsid w:val="00303C1A"/>
    <w:rsid w:val="00321B68"/>
    <w:rsid w:val="00341D3A"/>
    <w:rsid w:val="00366765"/>
    <w:rsid w:val="00382DA3"/>
    <w:rsid w:val="003B5E45"/>
    <w:rsid w:val="003C4E59"/>
    <w:rsid w:val="003E0F64"/>
    <w:rsid w:val="0042344B"/>
    <w:rsid w:val="00430F3D"/>
    <w:rsid w:val="004456C2"/>
    <w:rsid w:val="00445944"/>
    <w:rsid w:val="00456B09"/>
    <w:rsid w:val="00465303"/>
    <w:rsid w:val="0047506F"/>
    <w:rsid w:val="004917BB"/>
    <w:rsid w:val="00491863"/>
    <w:rsid w:val="00491DFF"/>
    <w:rsid w:val="00497FC6"/>
    <w:rsid w:val="004A390E"/>
    <w:rsid w:val="004C532B"/>
    <w:rsid w:val="00513851"/>
    <w:rsid w:val="005B0F41"/>
    <w:rsid w:val="006069FF"/>
    <w:rsid w:val="006227CB"/>
    <w:rsid w:val="00636FCE"/>
    <w:rsid w:val="006844D3"/>
    <w:rsid w:val="006A4D40"/>
    <w:rsid w:val="006C31EF"/>
    <w:rsid w:val="00700183"/>
    <w:rsid w:val="00711ED9"/>
    <w:rsid w:val="00754D0B"/>
    <w:rsid w:val="00760EEE"/>
    <w:rsid w:val="00766B55"/>
    <w:rsid w:val="00796467"/>
    <w:rsid w:val="007979CE"/>
    <w:rsid w:val="007D25DB"/>
    <w:rsid w:val="007E5157"/>
    <w:rsid w:val="007F5902"/>
    <w:rsid w:val="00811D1E"/>
    <w:rsid w:val="00832005"/>
    <w:rsid w:val="0083498B"/>
    <w:rsid w:val="008428A6"/>
    <w:rsid w:val="008732F9"/>
    <w:rsid w:val="00873483"/>
    <w:rsid w:val="00885585"/>
    <w:rsid w:val="00886B9B"/>
    <w:rsid w:val="008A6C65"/>
    <w:rsid w:val="008B637A"/>
    <w:rsid w:val="008C73F0"/>
    <w:rsid w:val="008D7F0C"/>
    <w:rsid w:val="008F1196"/>
    <w:rsid w:val="009125E7"/>
    <w:rsid w:val="00956B21"/>
    <w:rsid w:val="00984502"/>
    <w:rsid w:val="00985648"/>
    <w:rsid w:val="009A6CD6"/>
    <w:rsid w:val="009E0E26"/>
    <w:rsid w:val="009F5E39"/>
    <w:rsid w:val="009F6A2D"/>
    <w:rsid w:val="00A214D3"/>
    <w:rsid w:val="00A225DD"/>
    <w:rsid w:val="00A3052E"/>
    <w:rsid w:val="00A368A8"/>
    <w:rsid w:val="00AC7FA0"/>
    <w:rsid w:val="00AD148F"/>
    <w:rsid w:val="00AD4D3D"/>
    <w:rsid w:val="00AE1544"/>
    <w:rsid w:val="00B33CFB"/>
    <w:rsid w:val="00B470BE"/>
    <w:rsid w:val="00B86CC5"/>
    <w:rsid w:val="00BB2E87"/>
    <w:rsid w:val="00BD26CE"/>
    <w:rsid w:val="00BD39B4"/>
    <w:rsid w:val="00C1261E"/>
    <w:rsid w:val="00C3474A"/>
    <w:rsid w:val="00C734DF"/>
    <w:rsid w:val="00C76AB1"/>
    <w:rsid w:val="00CB5D91"/>
    <w:rsid w:val="00CD588F"/>
    <w:rsid w:val="00D2769A"/>
    <w:rsid w:val="00D33FAD"/>
    <w:rsid w:val="00D46FF7"/>
    <w:rsid w:val="00DB1565"/>
    <w:rsid w:val="00DC3252"/>
    <w:rsid w:val="00DD0055"/>
    <w:rsid w:val="00DD5266"/>
    <w:rsid w:val="00DE3271"/>
    <w:rsid w:val="00DE3AD5"/>
    <w:rsid w:val="00DF1391"/>
    <w:rsid w:val="00E5698D"/>
    <w:rsid w:val="00E75643"/>
    <w:rsid w:val="00E76D29"/>
    <w:rsid w:val="00EB683D"/>
    <w:rsid w:val="00EC2302"/>
    <w:rsid w:val="00EC4CC1"/>
    <w:rsid w:val="00EC7815"/>
    <w:rsid w:val="00ED2391"/>
    <w:rsid w:val="00EF1F88"/>
    <w:rsid w:val="00EF3CD2"/>
    <w:rsid w:val="00EF67F9"/>
    <w:rsid w:val="00F2652F"/>
    <w:rsid w:val="00F26539"/>
    <w:rsid w:val="00F608F7"/>
    <w:rsid w:val="00F86B5E"/>
    <w:rsid w:val="00FA4B53"/>
    <w:rsid w:val="00FB35C5"/>
    <w:rsid w:val="00FC14DF"/>
    <w:rsid w:val="00FC5147"/>
    <w:rsid w:val="00FD50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984502"/>
    <w:rPr>
      <w:rFonts w:ascii="Petersburg" w:hAnsi="Petersburg" w:cs="Petersburg"/>
      <w:spacing w:val="-20"/>
      <w:sz w:val="28"/>
      <w:szCs w:val="28"/>
      <w:lang w:val="ru-RU" w:eastAsia="ru-RU"/>
    </w:rPr>
  </w:style>
  <w:style w:type="paragraph" w:styleId="Heading3">
    <w:name w:val="heading 3"/>
    <w:basedOn w:val="Normal"/>
    <w:link w:val="Heading3Char"/>
    <w:uiPriority w:val="99"/>
    <w:qFormat/>
    <w:locked/>
    <w:rsid w:val="00DF1391"/>
    <w:pPr>
      <w:spacing w:before="100" w:beforeAutospacing="1" w:after="100" w:afterAutospacing="1"/>
      <w:outlineLvl w:val="2"/>
    </w:pPr>
    <w:rPr>
      <w:rFonts w:ascii="Times New Roman" w:hAnsi="Times New Roman" w:cs="Calibri"/>
      <w:b/>
      <w:bCs/>
      <w:spacing w:val="0"/>
      <w:sz w:val="27"/>
      <w:szCs w:val="27"/>
    </w:rPr>
  </w:style>
  <w:style w:type="character" w:default="1" w:styleId="DefaultParagraphFont">
    <w:name w:val="Default Paragraph Font"/>
    <w:link w:val="11"/>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Cambria"/>
      <w:b/>
      <w:bCs/>
      <w:sz w:val="26"/>
      <w:szCs w:val="26"/>
      <w:lang w:val="ru-RU" w:eastAsia="ru-RU"/>
    </w:rPr>
  </w:style>
  <w:style w:type="paragraph" w:styleId="Header">
    <w:name w:val="header"/>
    <w:basedOn w:val="Normal"/>
    <w:link w:val="HeaderChar1"/>
    <w:uiPriority w:val="99"/>
    <w:rsid w:val="003B5E45"/>
    <w:pPr>
      <w:widowControl w:val="0"/>
      <w:tabs>
        <w:tab w:val="center" w:pos="4677"/>
        <w:tab w:val="right" w:pos="9355"/>
      </w:tabs>
      <w:autoSpaceDE w:val="0"/>
      <w:autoSpaceDN w:val="0"/>
      <w:adjustRightInd w:val="0"/>
    </w:pPr>
    <w:rPr>
      <w:rFonts w:ascii="Times New Roman" w:hAnsi="Times New Roman" w:cs="Calibri"/>
      <w:spacing w:val="0"/>
      <w:sz w:val="20"/>
      <w:szCs w:val="20"/>
    </w:rPr>
  </w:style>
  <w:style w:type="character" w:customStyle="1" w:styleId="HeaderChar">
    <w:name w:val="Header Char"/>
    <w:basedOn w:val="DefaultParagraphFont"/>
    <w:link w:val="Header"/>
    <w:uiPriority w:val="99"/>
    <w:semiHidden/>
    <w:locked/>
    <w:rPr>
      <w:sz w:val="20"/>
      <w:szCs w:val="20"/>
      <w:lang w:val="ru-RU" w:eastAsia="ru-RU"/>
    </w:rPr>
  </w:style>
  <w:style w:type="character" w:customStyle="1" w:styleId="HeaderChar1">
    <w:name w:val="Header Char1"/>
    <w:basedOn w:val="DefaultParagraphFont"/>
    <w:link w:val="Header"/>
    <w:uiPriority w:val="99"/>
    <w:locked/>
    <w:rsid w:val="003B5E45"/>
    <w:rPr>
      <w:rFonts w:eastAsia="Times New Roman"/>
      <w:sz w:val="20"/>
      <w:szCs w:val="20"/>
      <w:lang w:val="ru-RU" w:eastAsia="ru-RU"/>
    </w:rPr>
  </w:style>
  <w:style w:type="character" w:styleId="PageNumber">
    <w:name w:val="page number"/>
    <w:basedOn w:val="DefaultParagraphFont"/>
    <w:uiPriority w:val="99"/>
    <w:rsid w:val="003B5E45"/>
  </w:style>
  <w:style w:type="character" w:customStyle="1" w:styleId="rvts0">
    <w:name w:val="rvts0"/>
    <w:basedOn w:val="DefaultParagraphFont"/>
    <w:uiPriority w:val="99"/>
    <w:rsid w:val="003B5E45"/>
  </w:style>
  <w:style w:type="paragraph" w:styleId="HTMLPreformatted">
    <w:name w:val="HTML Preformatted"/>
    <w:basedOn w:val="Normal"/>
    <w:link w:val="HTMLPreformattedChar1"/>
    <w:uiPriority w:val="99"/>
    <w:semiHidden/>
    <w:rsid w:val="00B47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szCs w:val="20"/>
      <w:lang w:val="uk-UA" w:eastAsia="uk-UA"/>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u-RU" w:eastAsia="ru-RU"/>
    </w:rPr>
  </w:style>
  <w:style w:type="character" w:customStyle="1" w:styleId="HTMLPreformattedChar1">
    <w:name w:val="HTML Preformatted Char1"/>
    <w:basedOn w:val="DefaultParagraphFont"/>
    <w:link w:val="HTMLPreformatted"/>
    <w:uiPriority w:val="99"/>
    <w:semiHidden/>
    <w:locked/>
    <w:rsid w:val="00B470BE"/>
    <w:rPr>
      <w:rFonts w:ascii="Courier New" w:hAnsi="Courier New" w:cs="Courier New"/>
      <w:sz w:val="20"/>
      <w:szCs w:val="20"/>
      <w:lang w:eastAsia="uk-UA"/>
    </w:rPr>
  </w:style>
  <w:style w:type="character" w:styleId="Hyperlink">
    <w:name w:val="Hyperlink"/>
    <w:basedOn w:val="DefaultParagraphFont"/>
    <w:uiPriority w:val="99"/>
    <w:rsid w:val="00FB35C5"/>
    <w:rPr>
      <w:rFonts w:cs="Calibri"/>
      <w:color w:val="0000FF"/>
      <w:u w:val="single"/>
    </w:rPr>
  </w:style>
  <w:style w:type="paragraph" w:styleId="BalloonText">
    <w:name w:val="Balloon Text"/>
    <w:basedOn w:val="Normal"/>
    <w:link w:val="BalloonTextChar1"/>
    <w:uiPriority w:val="99"/>
    <w:semiHidden/>
    <w:rsid w:val="00077B98"/>
    <w:pPr>
      <w:widowControl w:val="0"/>
      <w:autoSpaceDE w:val="0"/>
      <w:autoSpaceDN w:val="0"/>
      <w:adjustRightInd w:val="0"/>
    </w:pPr>
    <w:rPr>
      <w:rFonts w:ascii="Segoe UI" w:hAnsi="Segoe UI" w:cs="Segoe UI"/>
      <w:spacing w:val="0"/>
      <w:sz w:val="18"/>
      <w:szCs w:val="18"/>
    </w:rPr>
  </w:style>
  <w:style w:type="character" w:customStyle="1" w:styleId="BalloonTextChar">
    <w:name w:val="Balloon Text Char"/>
    <w:basedOn w:val="DefaultParagraphFont"/>
    <w:link w:val="BalloonText"/>
    <w:uiPriority w:val="99"/>
    <w:semiHidden/>
    <w:locked/>
    <w:rPr>
      <w:rFonts w:cs="Calibri"/>
      <w:sz w:val="2"/>
      <w:szCs w:val="2"/>
      <w:lang w:val="ru-RU" w:eastAsia="ru-RU"/>
    </w:rPr>
  </w:style>
  <w:style w:type="character" w:customStyle="1" w:styleId="BalloonTextChar1">
    <w:name w:val="Balloon Text Char1"/>
    <w:basedOn w:val="DefaultParagraphFont"/>
    <w:link w:val="BalloonText"/>
    <w:uiPriority w:val="99"/>
    <w:semiHidden/>
    <w:locked/>
    <w:rsid w:val="00077B98"/>
    <w:rPr>
      <w:rFonts w:ascii="Segoe UI" w:hAnsi="Segoe UI" w:cs="Segoe UI"/>
      <w:sz w:val="18"/>
      <w:szCs w:val="18"/>
      <w:lang w:val="ru-RU" w:eastAsia="ru-RU"/>
    </w:rPr>
  </w:style>
  <w:style w:type="character" w:styleId="Emphasis">
    <w:name w:val="Emphasis"/>
    <w:basedOn w:val="DefaultParagraphFont"/>
    <w:uiPriority w:val="99"/>
    <w:qFormat/>
    <w:rsid w:val="00EF3CD2"/>
    <w:rPr>
      <w:rFonts w:cs="Calibri"/>
      <w:i/>
      <w:iCs/>
    </w:rPr>
  </w:style>
  <w:style w:type="paragraph" w:styleId="ListParagraph">
    <w:name w:val="List Paragraph"/>
    <w:basedOn w:val="Normal"/>
    <w:uiPriority w:val="99"/>
    <w:qFormat/>
    <w:rsid w:val="00181B7F"/>
    <w:pPr>
      <w:widowControl w:val="0"/>
      <w:autoSpaceDE w:val="0"/>
      <w:autoSpaceDN w:val="0"/>
      <w:adjustRightInd w:val="0"/>
      <w:ind w:left="720"/>
    </w:pPr>
    <w:rPr>
      <w:rFonts w:ascii="Times New Roman" w:hAnsi="Times New Roman" w:cs="Calibri"/>
      <w:spacing w:val="0"/>
      <w:sz w:val="20"/>
      <w:szCs w:val="20"/>
    </w:rPr>
  </w:style>
  <w:style w:type="paragraph" w:customStyle="1" w:styleId="1">
    <w:name w:val="Звичайний1"/>
    <w:uiPriority w:val="99"/>
    <w:rsid w:val="00341D3A"/>
    <w:pPr>
      <w:spacing w:line="276" w:lineRule="auto"/>
    </w:pPr>
    <w:rPr>
      <w:rFonts w:ascii="Arial" w:hAnsi="Arial" w:cs="Arial"/>
      <w:color w:val="000000"/>
      <w:lang w:val="ru-RU" w:eastAsia="ru-RU"/>
    </w:rPr>
  </w:style>
  <w:style w:type="paragraph" w:customStyle="1" w:styleId="rvps2">
    <w:name w:val="rvps2"/>
    <w:basedOn w:val="Normal"/>
    <w:uiPriority w:val="99"/>
    <w:rsid w:val="00A3052E"/>
    <w:pPr>
      <w:spacing w:before="100" w:beforeAutospacing="1" w:after="100" w:afterAutospacing="1"/>
    </w:pPr>
    <w:rPr>
      <w:rFonts w:ascii="Times New Roman" w:hAnsi="Times New Roman" w:cs="Calibri"/>
      <w:spacing w:val="0"/>
      <w:sz w:val="24"/>
      <w:szCs w:val="24"/>
    </w:rPr>
  </w:style>
  <w:style w:type="paragraph" w:customStyle="1" w:styleId="rvps12">
    <w:name w:val="rvps12"/>
    <w:basedOn w:val="Normal"/>
    <w:uiPriority w:val="99"/>
    <w:rsid w:val="00A3052E"/>
    <w:pPr>
      <w:spacing w:before="100" w:beforeAutospacing="1" w:after="100" w:afterAutospacing="1"/>
    </w:pPr>
    <w:rPr>
      <w:rFonts w:ascii="Times New Roman" w:hAnsi="Times New Roman" w:cs="Calibri"/>
      <w:spacing w:val="0"/>
      <w:sz w:val="24"/>
      <w:szCs w:val="24"/>
    </w:rPr>
  </w:style>
  <w:style w:type="character" w:customStyle="1" w:styleId="rvts52">
    <w:name w:val="rvts52"/>
    <w:uiPriority w:val="99"/>
    <w:rsid w:val="00A3052E"/>
    <w:rPr>
      <w:rFonts w:cs="Calibri"/>
    </w:rPr>
  </w:style>
  <w:style w:type="character" w:customStyle="1" w:styleId="rvts46">
    <w:name w:val="rvts46"/>
    <w:basedOn w:val="DefaultParagraphFont"/>
    <w:uiPriority w:val="99"/>
    <w:rsid w:val="007E5157"/>
    <w:rPr>
      <w:rFonts w:cs="Calibri"/>
    </w:rPr>
  </w:style>
  <w:style w:type="paragraph" w:customStyle="1" w:styleId="11">
    <w:name w:val="Знак Знак1 Знак Знак Знак1 Знак Знак Знак Знак Знак"/>
    <w:basedOn w:val="Normal"/>
    <w:link w:val="DefaultParagraphFont"/>
    <w:uiPriority w:val="99"/>
    <w:rsid w:val="00303C1A"/>
    <w:rPr>
      <w:rFonts w:ascii="Verdana" w:hAnsi="Verdana" w:cs="Verdana"/>
      <w:spacing w:val="0"/>
      <w:sz w:val="20"/>
      <w:szCs w:val="20"/>
      <w:lang w:val="en-US" w:eastAsia="en-U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03C1A"/>
    <w:rPr>
      <w:rFonts w:ascii="Verdana" w:hAnsi="Verdana" w:cs="Verdana"/>
      <w:spacing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547912488">
      <w:marLeft w:val="0"/>
      <w:marRight w:val="0"/>
      <w:marTop w:val="0"/>
      <w:marBottom w:val="0"/>
      <w:divBdr>
        <w:top w:val="none" w:sz="0" w:space="0" w:color="auto"/>
        <w:left w:val="none" w:sz="0" w:space="0" w:color="auto"/>
        <w:bottom w:val="none" w:sz="0" w:space="0" w:color="auto"/>
        <w:right w:val="none" w:sz="0" w:space="0" w:color="auto"/>
      </w:divBdr>
    </w:div>
    <w:div w:id="1547912489">
      <w:marLeft w:val="0"/>
      <w:marRight w:val="0"/>
      <w:marTop w:val="0"/>
      <w:marBottom w:val="0"/>
      <w:divBdr>
        <w:top w:val="none" w:sz="0" w:space="0" w:color="auto"/>
        <w:left w:val="none" w:sz="0" w:space="0" w:color="auto"/>
        <w:bottom w:val="none" w:sz="0" w:space="0" w:color="auto"/>
        <w:right w:val="none" w:sz="0" w:space="0" w:color="auto"/>
      </w:divBdr>
    </w:div>
    <w:div w:id="1547912490">
      <w:marLeft w:val="0"/>
      <w:marRight w:val="0"/>
      <w:marTop w:val="0"/>
      <w:marBottom w:val="0"/>
      <w:divBdr>
        <w:top w:val="none" w:sz="0" w:space="0" w:color="auto"/>
        <w:left w:val="none" w:sz="0" w:space="0" w:color="auto"/>
        <w:bottom w:val="none" w:sz="0" w:space="0" w:color="auto"/>
        <w:right w:val="none" w:sz="0" w:space="0" w:color="auto"/>
      </w:divBdr>
    </w:div>
    <w:div w:id="1547912491">
      <w:marLeft w:val="0"/>
      <w:marRight w:val="0"/>
      <w:marTop w:val="0"/>
      <w:marBottom w:val="0"/>
      <w:divBdr>
        <w:top w:val="none" w:sz="0" w:space="0" w:color="auto"/>
        <w:left w:val="none" w:sz="0" w:space="0" w:color="auto"/>
        <w:bottom w:val="none" w:sz="0" w:space="0" w:color="auto"/>
        <w:right w:val="none" w:sz="0" w:space="0" w:color="auto"/>
      </w:divBdr>
    </w:div>
    <w:div w:id="1547912492">
      <w:marLeft w:val="0"/>
      <w:marRight w:val="0"/>
      <w:marTop w:val="0"/>
      <w:marBottom w:val="0"/>
      <w:divBdr>
        <w:top w:val="none" w:sz="0" w:space="0" w:color="auto"/>
        <w:left w:val="none" w:sz="0" w:space="0" w:color="auto"/>
        <w:bottom w:val="none" w:sz="0" w:space="0" w:color="auto"/>
        <w:right w:val="none" w:sz="0" w:space="0" w:color="auto"/>
      </w:divBdr>
    </w:div>
    <w:div w:id="1547912493">
      <w:marLeft w:val="0"/>
      <w:marRight w:val="0"/>
      <w:marTop w:val="0"/>
      <w:marBottom w:val="0"/>
      <w:divBdr>
        <w:top w:val="none" w:sz="0" w:space="0" w:color="auto"/>
        <w:left w:val="none" w:sz="0" w:space="0" w:color="auto"/>
        <w:bottom w:val="none" w:sz="0" w:space="0" w:color="auto"/>
        <w:right w:val="none" w:sz="0" w:space="0" w:color="auto"/>
      </w:divBdr>
    </w:div>
    <w:div w:id="1547912494">
      <w:marLeft w:val="0"/>
      <w:marRight w:val="0"/>
      <w:marTop w:val="0"/>
      <w:marBottom w:val="0"/>
      <w:divBdr>
        <w:top w:val="none" w:sz="0" w:space="0" w:color="auto"/>
        <w:left w:val="none" w:sz="0" w:space="0" w:color="auto"/>
        <w:bottom w:val="none" w:sz="0" w:space="0" w:color="auto"/>
        <w:right w:val="none" w:sz="0" w:space="0" w:color="auto"/>
      </w:divBdr>
    </w:div>
    <w:div w:id="1547912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3</Pages>
  <Words>987</Words>
  <Characters>5632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Козачок Ольга Вікторівна</dc:creator>
  <cp:keywords/>
  <dc:description/>
  <cp:lastModifiedBy>Пользователь Windows</cp:lastModifiedBy>
  <cp:revision>7</cp:revision>
  <cp:lastPrinted>2019-11-13T15:39:00Z</cp:lastPrinted>
  <dcterms:created xsi:type="dcterms:W3CDTF">2020-03-04T12:59:00Z</dcterms:created>
  <dcterms:modified xsi:type="dcterms:W3CDTF">2020-03-06T09:45:00Z</dcterms:modified>
</cp:coreProperties>
</file>