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4340"/>
        <w:gridCol w:w="5230"/>
      </w:tblGrid>
      <w:tr w:rsidR="00586B78" w:rsidRPr="001D18A7" w:rsidTr="005B530C">
        <w:tc>
          <w:tcPr>
            <w:tcW w:w="4503" w:type="dxa"/>
          </w:tcPr>
          <w:p w:rsidR="00586B78" w:rsidRPr="001D18A7" w:rsidRDefault="00586B78" w:rsidP="005B530C">
            <w:pPr>
              <w:spacing w:after="0" w:line="240" w:lineRule="auto"/>
              <w:contextualSpacing/>
              <w:rPr>
                <w:rFonts w:ascii="Times New Roman" w:hAnsi="Times New Roman"/>
                <w:color w:val="000000"/>
                <w:sz w:val="28"/>
                <w:szCs w:val="28"/>
                <w:lang w:val="uk-UA" w:eastAsia="uk-UA"/>
              </w:rPr>
            </w:pPr>
          </w:p>
        </w:tc>
        <w:tc>
          <w:tcPr>
            <w:tcW w:w="5352" w:type="dxa"/>
          </w:tcPr>
          <w:p w:rsidR="00376A6C" w:rsidRPr="001D18A7" w:rsidRDefault="00376A6C" w:rsidP="00376A6C">
            <w:pPr>
              <w:keepNext/>
              <w:keepLines/>
              <w:spacing w:after="0" w:line="360" w:lineRule="auto"/>
              <w:jc w:val="right"/>
              <w:rPr>
                <w:rFonts w:ascii="Times New Roman" w:hAnsi="Times New Roman"/>
                <w:b/>
                <w:sz w:val="28"/>
                <w:szCs w:val="28"/>
                <w:lang w:val="uk-UA"/>
              </w:rPr>
            </w:pPr>
            <w:r w:rsidRPr="001D18A7">
              <w:rPr>
                <w:rFonts w:ascii="Times New Roman" w:hAnsi="Times New Roman"/>
                <w:b/>
                <w:sz w:val="28"/>
                <w:szCs w:val="28"/>
                <w:lang w:val="uk-UA"/>
              </w:rPr>
              <w:t xml:space="preserve">Проєкт вноситься </w:t>
            </w:r>
          </w:p>
          <w:p w:rsidR="00586B78" w:rsidRPr="001D18A7" w:rsidRDefault="00512757" w:rsidP="009156F4">
            <w:pPr>
              <w:spacing w:after="0" w:line="360" w:lineRule="auto"/>
              <w:ind w:left="629" w:right="-6"/>
              <w:jc w:val="right"/>
              <w:rPr>
                <w:rFonts w:ascii="Times New Roman" w:hAnsi="Times New Roman"/>
                <w:color w:val="000000"/>
                <w:sz w:val="24"/>
                <w:szCs w:val="20"/>
                <w:lang w:val="uk-UA" w:eastAsia="uk-UA"/>
              </w:rPr>
            </w:pPr>
            <w:r w:rsidRPr="001D18A7">
              <w:rPr>
                <w:rFonts w:ascii="Times New Roman" w:hAnsi="Times New Roman"/>
                <w:b/>
                <w:sz w:val="28"/>
                <w:szCs w:val="28"/>
                <w:lang w:val="uk-UA"/>
              </w:rPr>
              <w:t>Народни</w:t>
            </w:r>
            <w:r w:rsidR="00EB28AC" w:rsidRPr="001D18A7">
              <w:rPr>
                <w:rFonts w:ascii="Times New Roman" w:hAnsi="Times New Roman"/>
                <w:b/>
                <w:sz w:val="28"/>
                <w:szCs w:val="28"/>
                <w:lang w:val="uk-UA"/>
              </w:rPr>
              <w:t>м депутатом</w:t>
            </w:r>
            <w:r w:rsidRPr="001D18A7">
              <w:rPr>
                <w:rFonts w:ascii="Times New Roman" w:hAnsi="Times New Roman"/>
                <w:b/>
                <w:sz w:val="28"/>
                <w:szCs w:val="28"/>
                <w:lang w:val="uk-UA"/>
              </w:rPr>
              <w:t xml:space="preserve"> України</w:t>
            </w:r>
            <w:r w:rsidR="00586B78" w:rsidRPr="001D18A7">
              <w:rPr>
                <w:rFonts w:ascii="Times New Roman" w:hAnsi="Times New Roman"/>
                <w:color w:val="000000"/>
                <w:sz w:val="24"/>
                <w:szCs w:val="20"/>
                <w:lang w:val="uk-UA" w:eastAsia="uk-UA"/>
              </w:rPr>
              <w:t xml:space="preserve"> </w:t>
            </w:r>
          </w:p>
          <w:p w:rsidR="009156F4" w:rsidRPr="001D18A7" w:rsidRDefault="00840D81" w:rsidP="009156F4">
            <w:pPr>
              <w:spacing w:after="0" w:line="360" w:lineRule="auto"/>
              <w:ind w:left="629" w:right="-6"/>
              <w:jc w:val="right"/>
              <w:rPr>
                <w:rFonts w:ascii="Times New Roman" w:hAnsi="Times New Roman"/>
                <w:sz w:val="28"/>
                <w:szCs w:val="28"/>
                <w:lang w:val="uk-UA" w:eastAsia="uk-UA"/>
              </w:rPr>
            </w:pPr>
            <w:r>
              <w:rPr>
                <w:rFonts w:ascii="Times New Roman" w:hAnsi="Times New Roman"/>
                <w:b/>
                <w:sz w:val="28"/>
                <w:szCs w:val="28"/>
                <w:lang w:val="uk-UA"/>
              </w:rPr>
              <w:t xml:space="preserve">Я.І. </w:t>
            </w:r>
            <w:proofErr w:type="spellStart"/>
            <w:r>
              <w:rPr>
                <w:rFonts w:ascii="Times New Roman" w:hAnsi="Times New Roman"/>
                <w:b/>
                <w:sz w:val="28"/>
                <w:szCs w:val="28"/>
                <w:lang w:val="uk-UA"/>
              </w:rPr>
              <w:t>Железняк</w:t>
            </w:r>
            <w:proofErr w:type="spellEnd"/>
          </w:p>
        </w:tc>
      </w:tr>
    </w:tbl>
    <w:p w:rsidR="00512757" w:rsidRPr="001D18A7" w:rsidRDefault="00512757" w:rsidP="00586B78">
      <w:pPr>
        <w:spacing w:before="240" w:after="240" w:line="240" w:lineRule="auto"/>
        <w:contextualSpacing/>
        <w:jc w:val="center"/>
        <w:rPr>
          <w:rFonts w:ascii="Times New Roman" w:hAnsi="Times New Roman"/>
          <w:color w:val="000000"/>
          <w:sz w:val="28"/>
          <w:szCs w:val="28"/>
          <w:lang w:val="uk-UA" w:eastAsia="uk-UA"/>
        </w:rPr>
      </w:pPr>
    </w:p>
    <w:p w:rsidR="00512757" w:rsidRPr="001D18A7" w:rsidRDefault="00512757" w:rsidP="00586B78">
      <w:pPr>
        <w:spacing w:before="240" w:after="240" w:line="240" w:lineRule="auto"/>
        <w:contextualSpacing/>
        <w:jc w:val="center"/>
        <w:rPr>
          <w:rFonts w:ascii="Times New Roman" w:hAnsi="Times New Roman"/>
          <w:color w:val="000000"/>
          <w:sz w:val="28"/>
          <w:szCs w:val="28"/>
          <w:lang w:val="uk-UA" w:eastAsia="uk-UA"/>
        </w:rPr>
      </w:pPr>
    </w:p>
    <w:p w:rsidR="00694335" w:rsidRPr="001D18A7" w:rsidRDefault="00694335" w:rsidP="00586B78">
      <w:pPr>
        <w:spacing w:before="240" w:after="240" w:line="240" w:lineRule="auto"/>
        <w:contextualSpacing/>
        <w:jc w:val="center"/>
        <w:rPr>
          <w:rFonts w:ascii="Times New Roman" w:hAnsi="Times New Roman"/>
          <w:color w:val="000000"/>
          <w:sz w:val="28"/>
          <w:szCs w:val="28"/>
          <w:lang w:val="uk-UA" w:eastAsia="uk-UA"/>
        </w:rPr>
      </w:pPr>
    </w:p>
    <w:p w:rsidR="00694335" w:rsidRPr="001D18A7" w:rsidRDefault="00694335" w:rsidP="00586B78">
      <w:pPr>
        <w:spacing w:before="240" w:after="240" w:line="240" w:lineRule="auto"/>
        <w:contextualSpacing/>
        <w:jc w:val="center"/>
        <w:rPr>
          <w:rFonts w:ascii="Times New Roman" w:hAnsi="Times New Roman"/>
          <w:color w:val="000000"/>
          <w:sz w:val="28"/>
          <w:szCs w:val="28"/>
          <w:lang w:val="uk-UA" w:eastAsia="uk-UA"/>
        </w:rPr>
      </w:pPr>
    </w:p>
    <w:p w:rsidR="00586B78" w:rsidRPr="001D18A7" w:rsidRDefault="00586B78" w:rsidP="00586B78">
      <w:pPr>
        <w:spacing w:before="240" w:after="240" w:line="240" w:lineRule="auto"/>
        <w:contextualSpacing/>
        <w:jc w:val="center"/>
        <w:rPr>
          <w:rFonts w:ascii="Times New Roman" w:hAnsi="Times New Roman"/>
          <w:color w:val="000000"/>
          <w:sz w:val="28"/>
          <w:szCs w:val="28"/>
          <w:lang w:val="uk-UA" w:eastAsia="uk-UA"/>
        </w:rPr>
      </w:pPr>
    </w:p>
    <w:p w:rsidR="00586B78" w:rsidRPr="001D18A7" w:rsidRDefault="00586B78" w:rsidP="00586B78">
      <w:pPr>
        <w:spacing w:before="240" w:after="240" w:line="240" w:lineRule="auto"/>
        <w:contextualSpacing/>
        <w:jc w:val="center"/>
        <w:rPr>
          <w:rFonts w:ascii="Times New Roman" w:hAnsi="Times New Roman"/>
          <w:b/>
          <w:bCs/>
          <w:color w:val="000000"/>
          <w:sz w:val="28"/>
          <w:szCs w:val="28"/>
          <w:lang w:val="uk-UA" w:eastAsia="ru-RU"/>
        </w:rPr>
      </w:pPr>
    </w:p>
    <w:p w:rsidR="00586B78" w:rsidRPr="001D18A7" w:rsidRDefault="00586B78" w:rsidP="00586B78">
      <w:pPr>
        <w:spacing w:before="240" w:after="240" w:line="240" w:lineRule="auto"/>
        <w:contextualSpacing/>
        <w:jc w:val="center"/>
        <w:rPr>
          <w:rFonts w:ascii="Times New Roman" w:hAnsi="Times New Roman"/>
          <w:b/>
          <w:bCs/>
          <w:color w:val="000000"/>
          <w:sz w:val="28"/>
          <w:szCs w:val="28"/>
          <w:lang w:val="uk-UA" w:eastAsia="ru-RU"/>
        </w:rPr>
      </w:pPr>
      <w:r w:rsidRPr="001D18A7">
        <w:rPr>
          <w:rFonts w:ascii="Times New Roman" w:hAnsi="Times New Roman"/>
          <w:b/>
          <w:bCs/>
          <w:color w:val="000000"/>
          <w:sz w:val="28"/>
          <w:szCs w:val="28"/>
          <w:lang w:val="uk-UA" w:eastAsia="ru-RU"/>
        </w:rPr>
        <w:t>ЗАКОН УКРАЇНИ</w:t>
      </w:r>
    </w:p>
    <w:p w:rsidR="00586B78" w:rsidRPr="001D18A7" w:rsidRDefault="00586B78" w:rsidP="00586B78">
      <w:pPr>
        <w:spacing w:before="240" w:after="240" w:line="240" w:lineRule="auto"/>
        <w:contextualSpacing/>
        <w:jc w:val="center"/>
        <w:rPr>
          <w:rFonts w:ascii="Times New Roman" w:hAnsi="Times New Roman"/>
          <w:b/>
          <w:bCs/>
          <w:color w:val="000000"/>
          <w:sz w:val="28"/>
          <w:szCs w:val="28"/>
          <w:lang w:val="uk-UA" w:eastAsia="ru-RU"/>
        </w:rPr>
      </w:pPr>
    </w:p>
    <w:p w:rsidR="00586B78" w:rsidRPr="005F4F4A" w:rsidRDefault="005F4F4A" w:rsidP="005F4F4A">
      <w:pPr>
        <w:keepNext/>
        <w:spacing w:before="240" w:after="240"/>
        <w:ind w:firstLine="567"/>
        <w:contextualSpacing/>
        <w:jc w:val="center"/>
        <w:outlineLvl w:val="1"/>
        <w:rPr>
          <w:rFonts w:ascii="Times New Roman" w:hAnsi="Times New Roman"/>
          <w:b/>
          <w:color w:val="000000"/>
          <w:sz w:val="28"/>
          <w:szCs w:val="28"/>
          <w:lang w:val="uk-UA" w:eastAsia="uk-UA"/>
        </w:rPr>
      </w:pPr>
      <w:r w:rsidRPr="005F4F4A">
        <w:rPr>
          <w:rFonts w:ascii="Times New Roman" w:hAnsi="Times New Roman"/>
          <w:b/>
          <w:bCs/>
          <w:color w:val="000000"/>
          <w:sz w:val="28"/>
          <w:szCs w:val="28"/>
          <w:shd w:val="clear" w:color="auto" w:fill="FFFFFF"/>
          <w:lang w:val="uk-UA"/>
        </w:rPr>
        <w:t xml:space="preserve">Про внесення змін до </w:t>
      </w:r>
      <w:r w:rsidR="00057D65">
        <w:rPr>
          <w:rFonts w:ascii="Times New Roman" w:hAnsi="Times New Roman"/>
          <w:b/>
          <w:bCs/>
          <w:color w:val="000000"/>
          <w:sz w:val="28"/>
          <w:szCs w:val="28"/>
          <w:shd w:val="clear" w:color="auto" w:fill="FFFFFF"/>
          <w:lang w:val="uk-UA"/>
        </w:rPr>
        <w:t>Податкового кодексу</w:t>
      </w:r>
      <w:r w:rsidR="00F247D8">
        <w:rPr>
          <w:rFonts w:ascii="Times New Roman" w:hAnsi="Times New Roman"/>
          <w:b/>
          <w:bCs/>
          <w:color w:val="000000"/>
          <w:sz w:val="28"/>
          <w:szCs w:val="28"/>
          <w:shd w:val="clear" w:color="auto" w:fill="FFFFFF"/>
          <w:lang w:val="uk-UA"/>
        </w:rPr>
        <w:t xml:space="preserve"> України</w:t>
      </w:r>
      <w:bookmarkStart w:id="0" w:name="_GoBack"/>
      <w:bookmarkEnd w:id="0"/>
      <w:r w:rsidRPr="005F4F4A">
        <w:rPr>
          <w:rFonts w:ascii="Times New Roman" w:hAnsi="Times New Roman"/>
          <w:b/>
          <w:bCs/>
          <w:color w:val="000000"/>
          <w:sz w:val="28"/>
          <w:szCs w:val="28"/>
          <w:shd w:val="clear" w:color="auto" w:fill="FFFFFF"/>
          <w:lang w:val="uk-UA"/>
        </w:rPr>
        <w:t xml:space="preserve"> щодо стимулювання ефективного користування ділянками нафтогазоносних надр</w:t>
      </w:r>
    </w:p>
    <w:p w:rsidR="00586B78" w:rsidRPr="001D18A7" w:rsidRDefault="00586B78" w:rsidP="00586B78">
      <w:pPr>
        <w:keepNext/>
        <w:spacing w:before="240" w:after="240" w:line="240" w:lineRule="auto"/>
        <w:ind w:firstLine="567"/>
        <w:contextualSpacing/>
        <w:jc w:val="center"/>
        <w:outlineLvl w:val="1"/>
        <w:rPr>
          <w:rFonts w:ascii="Times New Roman" w:hAnsi="Times New Roman"/>
          <w:b/>
          <w:color w:val="000000"/>
          <w:sz w:val="28"/>
          <w:szCs w:val="28"/>
          <w:lang w:val="uk-UA" w:eastAsia="ar-SA"/>
        </w:rPr>
      </w:pPr>
    </w:p>
    <w:p w:rsidR="00586B78" w:rsidRPr="00F02CA6" w:rsidRDefault="00586B78" w:rsidP="00F02CA6">
      <w:pPr>
        <w:tabs>
          <w:tab w:val="left" w:pos="567"/>
        </w:tabs>
        <w:spacing w:after="0"/>
        <w:contextualSpacing/>
        <w:rPr>
          <w:rFonts w:ascii="Times New Roman" w:hAnsi="Times New Roman"/>
          <w:color w:val="000000"/>
          <w:spacing w:val="80"/>
          <w:sz w:val="28"/>
          <w:szCs w:val="28"/>
          <w:lang w:val="uk-UA" w:eastAsia="uk-UA"/>
        </w:rPr>
      </w:pPr>
      <w:r w:rsidRPr="001D18A7">
        <w:rPr>
          <w:rFonts w:ascii="Times New Roman" w:hAnsi="Times New Roman"/>
          <w:color w:val="000000"/>
          <w:sz w:val="28"/>
          <w:szCs w:val="28"/>
          <w:lang w:val="uk-UA" w:eastAsia="uk-UA"/>
        </w:rPr>
        <w:tab/>
      </w:r>
      <w:r w:rsidRPr="00F02CA6">
        <w:rPr>
          <w:rFonts w:ascii="Times New Roman" w:hAnsi="Times New Roman"/>
          <w:color w:val="000000"/>
          <w:sz w:val="28"/>
          <w:szCs w:val="28"/>
          <w:lang w:val="uk-UA" w:eastAsia="ru-RU"/>
        </w:rPr>
        <w:t xml:space="preserve">Верховна Рада України </w:t>
      </w:r>
      <w:r w:rsidRPr="00544255">
        <w:rPr>
          <w:rFonts w:ascii="Times New Roman" w:hAnsi="Times New Roman"/>
          <w:b/>
          <w:color w:val="000000"/>
          <w:spacing w:val="80"/>
          <w:sz w:val="28"/>
          <w:szCs w:val="28"/>
          <w:lang w:val="uk-UA" w:eastAsia="uk-UA"/>
        </w:rPr>
        <w:t>постановляє:</w:t>
      </w:r>
    </w:p>
    <w:p w:rsidR="00057D65" w:rsidRPr="00057D65" w:rsidRDefault="00057D65" w:rsidP="00057D65">
      <w:pPr>
        <w:pStyle w:val="ab"/>
        <w:spacing w:before="0" w:line="276" w:lineRule="auto"/>
        <w:rPr>
          <w:rFonts w:ascii="Times New Roman" w:eastAsia="Calibri" w:hAnsi="Times New Roman"/>
          <w:sz w:val="28"/>
          <w:szCs w:val="28"/>
          <w:lang w:eastAsia="en-US"/>
        </w:rPr>
      </w:pPr>
      <w:bookmarkStart w:id="1" w:name="n4"/>
      <w:bookmarkEnd w:id="1"/>
      <w:r w:rsidRPr="00057D65">
        <w:rPr>
          <w:rFonts w:ascii="Times New Roman" w:eastAsia="Calibri" w:hAnsi="Times New Roman"/>
          <w:sz w:val="28"/>
          <w:szCs w:val="28"/>
          <w:lang w:eastAsia="en-US"/>
        </w:rPr>
        <w:t>І. Внести до Податкового кодексу України (Відомості Верховної Ради України, 2011 р., № 13, ст. 112) такі зміни: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 xml:space="preserve">1. Пункт 9.1 статті 9 доповнити підпунктом 9.1.8 такого змісту: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9.1.8. плата за користування д</w:t>
      </w:r>
      <w:r>
        <w:rPr>
          <w:rFonts w:ascii="Times New Roman" w:eastAsia="Calibri" w:hAnsi="Times New Roman"/>
          <w:sz w:val="28"/>
          <w:szCs w:val="28"/>
          <w:lang w:eastAsia="en-US"/>
        </w:rPr>
        <w:t>ілянками нафтогазоносних надр"</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 xml:space="preserve">2. Підпункт 12.2.1 пункту 12.2 статті 12 після слів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загальнодержавного значення</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 xml:space="preserve"> доповнити словами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та плати за користування ділянками нафтогазоносних надр</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3. Пункт 14.1 статті 14 доповнити підпунктами 14.1.91</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14.1.135</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14.1.149</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і 14.1.217</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такого змісту:</w:t>
      </w:r>
    </w:p>
    <w:p w:rsidR="00057D65" w:rsidRPr="00057D65" w:rsidRDefault="00057D65" w:rsidP="00057D65">
      <w:pPr>
        <w:pStyle w:val="ab"/>
        <w:spacing w:before="0" w:line="276"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14.1.91</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терміни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ділянка нафтогазоносних надр</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 xml:space="preserve">,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користувач нафтогазоносними надрами</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 xml:space="preserve"> вживаються в значенні, наведеному в Законі України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Про нафту і газ</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14.1.135</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оподаткування для цілей розділу XI</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цього Кодексу —  плата за користування д</w:t>
      </w:r>
      <w:r>
        <w:rPr>
          <w:rFonts w:ascii="Times New Roman" w:eastAsia="Calibri" w:hAnsi="Times New Roman"/>
          <w:sz w:val="28"/>
          <w:szCs w:val="28"/>
          <w:lang w:eastAsia="en-US"/>
        </w:rPr>
        <w:t>ілянками нафтогазоносних надр"</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14.1.149</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платник податку для цілей розділу XI</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цього Кодексу — платник податку за користування д</w:t>
      </w:r>
      <w:r>
        <w:rPr>
          <w:rFonts w:ascii="Times New Roman" w:eastAsia="Calibri" w:hAnsi="Times New Roman"/>
          <w:sz w:val="28"/>
          <w:szCs w:val="28"/>
          <w:lang w:eastAsia="en-US"/>
        </w:rPr>
        <w:t>ілянками нафтогазоносних надр"</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14.1.217</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плата за користування ділянками нафтогазоносних надр — платіж, який справляється за користування ділянками нафтогазоносних надр: для геологічного вивчення нафтогазоносних надр, у тому числі дослідно-промислової розробки родовищ; для геологічного вивчення нафтогазоносних надр, у тому числі дослідно-промислової розробки родовищ з подальшим видобуванням нафти і газу (промислової розробки родовищ); для видобування нафти і газу (промислової розробки родовищ) починаючи з </w:t>
      </w:r>
      <w:r w:rsidRPr="00057D65">
        <w:rPr>
          <w:rFonts w:ascii="Times New Roman" w:eastAsia="Calibri" w:hAnsi="Times New Roman"/>
          <w:sz w:val="28"/>
          <w:szCs w:val="28"/>
          <w:lang w:eastAsia="en-US"/>
        </w:rPr>
        <w:lastRenderedPageBreak/>
        <w:t>четвертого календарного року видачі спеціального дозволу на користування нафтогазоносними надрами до початку видобування нафти і газу або після припинення внесення рентної плати за користування надрами для видобування нафти і газу щодо відповідн</w:t>
      </w:r>
      <w:r>
        <w:rPr>
          <w:rFonts w:ascii="Times New Roman" w:eastAsia="Calibri" w:hAnsi="Times New Roman"/>
          <w:sz w:val="28"/>
          <w:szCs w:val="28"/>
          <w:lang w:eastAsia="en-US"/>
        </w:rPr>
        <w:t>ої ділянки нафтогазоносних надр"</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 xml:space="preserve">4. Абзац другий пункту 35.4 статті 35 після слів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за користування надрами</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 xml:space="preserve"> доповнити словами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та платниками плати за користування ділянками нафтогазоносних надр</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5. Абзац шостий пункту 252.21 статті 252 викласти в такій редакції:</w:t>
      </w:r>
    </w:p>
    <w:p w:rsidR="00057D65" w:rsidRPr="00057D65" w:rsidRDefault="00057D65" w:rsidP="00057D65">
      <w:pPr>
        <w:pStyle w:val="ab"/>
        <w:spacing w:before="0" w:line="276"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господарські товариства, 25 відсотків та більше акцій (часток, паїв) яких належать іншим господарським товариствам, контрольним пак</w:t>
      </w:r>
      <w:r>
        <w:rPr>
          <w:rFonts w:ascii="Times New Roman" w:eastAsia="Calibri" w:hAnsi="Times New Roman"/>
          <w:sz w:val="28"/>
          <w:szCs w:val="28"/>
          <w:lang w:eastAsia="en-US"/>
        </w:rPr>
        <w:t>етом акцій яких володіє держава".</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6. Доповнити Кодекс розділом XI</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такого змісту:</w:t>
      </w:r>
    </w:p>
    <w:p w:rsidR="00057D65" w:rsidRPr="00057D65" w:rsidRDefault="00057D65" w:rsidP="00057D65">
      <w:pPr>
        <w:pStyle w:val="ab"/>
        <w:spacing w:before="0" w:line="276"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Розділ XI</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Плата за користування ділянками нафтогазоносних надр</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Стаття 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Плата за користування ділянками нафтогазоносних надр</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1. Плата за користування ділянками нафтогазоносних надр</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1.1 Плата за користування ділянками нафтогазоносних надр справляється у вигляді:</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плати за користування ділянками нафтогазоносних надр для геологічного вивчення нафтогазоносних надр, у тому числі дослідно-промислової розробки родовищ;</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плати за користування ділянками нафтогазоносних надр для геологічного вивчення нафтогазоносних надр, у тому числі дослідно-промислової розробки родовищ з подальшим видобуванням нафти і газу (промислової розробки родовищ);</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плати за користування ділянками нафтогазоносних надр для видобування нафти і газу (промислової розробки родовищ);</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плати за користування ділянками нафтогазоносних надр для виконання угод про розподіл продукції.</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.2. Платниками податку за користування ділянками нафтогазоносних надр є користувачі нафтогазоносними надрами, які набули право користування ділянкою нафтогазоносних надр на підставі відповідного спеціального дозволу на користування нафтогазоносними надрами для:</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геологічного вивчення нафтогазоносних надр, у тому числі дослідно-промислової розробки родовищ;</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геологічного вивчення нафтогазоносних надр, у тому числі дослідно-промислової розробки родовищ з подальшим видобуванням нафти і газу (промисловою розробкою родовищ);</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видобування нафти і газу (промислової розробки родовищ);</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виконання угод про розподіл продукції.</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lastRenderedPageBreak/>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.2.1. У разі укладення користувачами нафтогазоносних надр з третіми особами договорів на виконання робіт (послуг), пов’язаних з використанням надр, у тому числі (але не виключно) за операціями з давальницькою сировиною, платниками плати є такі користувачі нафтогазоносними надрами.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.2.2. Платником податку під час виконання договорів про спільну діяльність без утворення юридичної особи є уповноважена особа — один з учасників такого договору, на якого згідно з його умовами покладено обов’язок нарахування, утримання та внесення податків і зборів до бюджету з єдиного поточного рахунку спільної діяльності, за умови, якщо один з учасників зазначеного договору є користувачем нафтогазоносними надрами.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.3. Об’єкт оподаткування</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.3.1. Об’єктом оподаткування є ділянка нафтогазоносних надр, надана у користування на підставі відповідного спеціального дозволу на користування нафтогазоносними надрами.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.4. Визначення податкових зобов’язань</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.4.1. Платники податку, які набули права користування ділянкою нафтогазоносних надр визначають податкові зобов’язання за податковий (звітний) період за формулою:</w:t>
      </w:r>
    </w:p>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Т = (П х ПМ) х К</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де:</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Т — розмір плати за користування ділянками нафтогазоносних надр;</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П — площа ділянки нафтогазоносних надр у квадратних кілометрах, що встановлена у відповідному спеціальному дозволі на користування нафтогазоносними надрами;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ПМ — 50 відсотків розміру прожиткового мінімуму для працездатної особи, встановленого законом на 1 січня податкового (звітного) року;</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К — коригуючий коефіцієнт, який розраховується з моменту первинної видачі спеціального дозволу на користування нафтогазоносними надрами (дати присвоєння відповідному спеціальному дозволу на користування нафтогазоносними надрами реєстраційного номеру) або строку несплати рентної плати за користування надрами для видобутку нафти і газу:</w:t>
      </w:r>
    </w:p>
    <w:tbl>
      <w:tblPr>
        <w:tblW w:w="5000" w:type="pct"/>
        <w:tblCellMar>
          <w:left w:w="40" w:type="dxa"/>
          <w:right w:w="40" w:type="dxa"/>
        </w:tblCellMar>
        <w:tblLook w:val="04A0" w:firstRow="1" w:lastRow="0" w:firstColumn="1" w:lastColumn="0" w:noHBand="0" w:noVBand="1"/>
      </w:tblPr>
      <w:tblGrid>
        <w:gridCol w:w="5694"/>
        <w:gridCol w:w="3740"/>
      </w:tblGrid>
      <w:tr w:rsidR="00057D65" w:rsidRPr="00057D65" w:rsidTr="001F0AAB">
        <w:trPr>
          <w:trHeight w:val="20"/>
        </w:trPr>
        <w:tc>
          <w:tcPr>
            <w:tcW w:w="3018" w:type="pct"/>
            <w:tcBorders>
              <w:top w:val="single" w:sz="6" w:space="0" w:color="auto"/>
              <w:bottom w:val="single" w:sz="6" w:space="0" w:color="auto"/>
              <w:right w:val="single" w:sz="6" w:space="0" w:color="auto"/>
            </w:tcBorders>
            <w:vAlign w:val="center"/>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Строк з моменту первинної видачі спеціального дозволу</w:t>
            </w:r>
          </w:p>
        </w:tc>
        <w:tc>
          <w:tcPr>
            <w:tcW w:w="1982" w:type="pct"/>
            <w:tcBorders>
              <w:top w:val="single" w:sz="6" w:space="0" w:color="auto"/>
              <w:left w:val="single" w:sz="6" w:space="0" w:color="auto"/>
              <w:bottom w:val="single" w:sz="6" w:space="0" w:color="auto"/>
            </w:tcBorders>
            <w:vAlign w:val="center"/>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Величина коефіцієнту</w:t>
            </w:r>
          </w:p>
        </w:tc>
      </w:tr>
      <w:tr w:rsidR="00057D65" w:rsidRPr="00057D65" w:rsidTr="001F0AAB">
        <w:trPr>
          <w:trHeight w:val="20"/>
        </w:trPr>
        <w:tc>
          <w:tcPr>
            <w:tcW w:w="3018" w:type="pct"/>
            <w:tcBorders>
              <w:top w:val="single" w:sz="6" w:space="0" w:color="auto"/>
            </w:tcBorders>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від 3 років</w:t>
            </w:r>
          </w:p>
        </w:tc>
        <w:tc>
          <w:tcPr>
            <w:tcW w:w="1982" w:type="pct"/>
            <w:tcBorders>
              <w:top w:val="single" w:sz="6" w:space="0" w:color="auto"/>
            </w:tcBorders>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1</w:t>
            </w:r>
          </w:p>
        </w:tc>
      </w:tr>
      <w:tr w:rsidR="00057D65" w:rsidRPr="00057D65" w:rsidTr="001F0AAB">
        <w:trPr>
          <w:trHeight w:val="20"/>
        </w:trPr>
        <w:tc>
          <w:tcPr>
            <w:tcW w:w="3018" w:type="pct"/>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від 4 років</w:t>
            </w:r>
          </w:p>
        </w:tc>
        <w:tc>
          <w:tcPr>
            <w:tcW w:w="1982" w:type="pct"/>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1,5</w:t>
            </w:r>
          </w:p>
        </w:tc>
      </w:tr>
      <w:tr w:rsidR="00057D65" w:rsidRPr="00057D65" w:rsidTr="001F0AAB">
        <w:trPr>
          <w:trHeight w:val="20"/>
        </w:trPr>
        <w:tc>
          <w:tcPr>
            <w:tcW w:w="3018" w:type="pct"/>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від 5 років</w:t>
            </w:r>
          </w:p>
        </w:tc>
        <w:tc>
          <w:tcPr>
            <w:tcW w:w="1982" w:type="pct"/>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2</w:t>
            </w:r>
          </w:p>
        </w:tc>
      </w:tr>
      <w:tr w:rsidR="00057D65" w:rsidRPr="00057D65" w:rsidTr="001F0AAB">
        <w:trPr>
          <w:trHeight w:val="20"/>
        </w:trPr>
        <w:tc>
          <w:tcPr>
            <w:tcW w:w="5000" w:type="pct"/>
            <w:gridSpan w:val="2"/>
            <w:tcBorders>
              <w:bottom w:val="single" w:sz="6" w:space="0" w:color="auto"/>
            </w:tcBorders>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p>
        </w:tc>
      </w:tr>
      <w:tr w:rsidR="00057D65" w:rsidRPr="00057D65" w:rsidTr="001F0AAB">
        <w:trPr>
          <w:trHeight w:val="20"/>
        </w:trPr>
        <w:tc>
          <w:tcPr>
            <w:tcW w:w="3018" w:type="pct"/>
            <w:tcBorders>
              <w:top w:val="single" w:sz="6" w:space="0" w:color="auto"/>
              <w:bottom w:val="single" w:sz="6" w:space="0" w:color="auto"/>
              <w:right w:val="single" w:sz="6" w:space="0" w:color="auto"/>
            </w:tcBorders>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Строк несплати рентної плати</w:t>
            </w:r>
          </w:p>
        </w:tc>
        <w:tc>
          <w:tcPr>
            <w:tcW w:w="1982" w:type="pct"/>
            <w:tcBorders>
              <w:top w:val="single" w:sz="6" w:space="0" w:color="auto"/>
              <w:left w:val="single" w:sz="6" w:space="0" w:color="auto"/>
              <w:bottom w:val="single" w:sz="6" w:space="0" w:color="auto"/>
            </w:tcBorders>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Величина коефіцієнту</w:t>
            </w:r>
          </w:p>
        </w:tc>
      </w:tr>
      <w:tr w:rsidR="00057D65" w:rsidRPr="00057D65" w:rsidTr="001F0AAB">
        <w:trPr>
          <w:trHeight w:val="20"/>
        </w:trPr>
        <w:tc>
          <w:tcPr>
            <w:tcW w:w="3018" w:type="pct"/>
            <w:tcBorders>
              <w:top w:val="single" w:sz="6" w:space="0" w:color="auto"/>
            </w:tcBorders>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lastRenderedPageBreak/>
              <w:t>до 1 року</w:t>
            </w:r>
          </w:p>
        </w:tc>
        <w:tc>
          <w:tcPr>
            <w:tcW w:w="1982" w:type="pct"/>
            <w:tcBorders>
              <w:top w:val="single" w:sz="6" w:space="0" w:color="auto"/>
            </w:tcBorders>
            <w:hideMark/>
          </w:tcPr>
          <w:p w:rsidR="00057D65" w:rsidRPr="00057D65" w:rsidRDefault="00057D65" w:rsidP="00057D65">
            <w:pPr>
              <w:pStyle w:val="ab"/>
              <w:spacing w:before="0" w:line="276" w:lineRule="auto"/>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1</w:t>
            </w:r>
          </w:p>
        </w:tc>
      </w:tr>
      <w:tr w:rsidR="00057D65" w:rsidRPr="00057D65" w:rsidTr="001F0AAB">
        <w:trPr>
          <w:trHeight w:val="20"/>
        </w:trPr>
        <w:tc>
          <w:tcPr>
            <w:tcW w:w="3018" w:type="pct"/>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від 1 до 2 років</w:t>
            </w:r>
          </w:p>
        </w:tc>
        <w:tc>
          <w:tcPr>
            <w:tcW w:w="1982" w:type="pct"/>
            <w:hideMark/>
          </w:tcPr>
          <w:p w:rsidR="00057D65" w:rsidRPr="00057D65" w:rsidRDefault="00057D65" w:rsidP="00057D65">
            <w:pPr>
              <w:pStyle w:val="ab"/>
              <w:spacing w:before="0" w:line="276" w:lineRule="auto"/>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1,5</w:t>
            </w:r>
          </w:p>
        </w:tc>
      </w:tr>
      <w:tr w:rsidR="00057D65" w:rsidRPr="00057D65" w:rsidTr="001F0AAB">
        <w:trPr>
          <w:trHeight w:val="20"/>
        </w:trPr>
        <w:tc>
          <w:tcPr>
            <w:tcW w:w="3018" w:type="pct"/>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від 2 до 3 років</w:t>
            </w:r>
          </w:p>
        </w:tc>
        <w:tc>
          <w:tcPr>
            <w:tcW w:w="1982" w:type="pct"/>
            <w:hideMark/>
          </w:tcPr>
          <w:p w:rsidR="00057D65" w:rsidRPr="00057D65" w:rsidRDefault="00057D65" w:rsidP="00057D65">
            <w:pPr>
              <w:pStyle w:val="ab"/>
              <w:spacing w:before="0" w:line="276" w:lineRule="auto"/>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2</w:t>
            </w:r>
          </w:p>
        </w:tc>
      </w:tr>
      <w:tr w:rsidR="00057D65" w:rsidRPr="00057D65" w:rsidTr="001F0AAB">
        <w:trPr>
          <w:trHeight w:val="20"/>
        </w:trPr>
        <w:tc>
          <w:tcPr>
            <w:tcW w:w="3018" w:type="pct"/>
            <w:hideMark/>
          </w:tcPr>
          <w:p w:rsidR="00057D65" w:rsidRPr="00057D65" w:rsidRDefault="00057D65" w:rsidP="00057D65">
            <w:pPr>
              <w:pStyle w:val="ab"/>
              <w:spacing w:before="0" w:line="276" w:lineRule="auto"/>
              <w:ind w:firstLine="0"/>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від 3 років</w:t>
            </w:r>
          </w:p>
        </w:tc>
        <w:tc>
          <w:tcPr>
            <w:tcW w:w="1982" w:type="pct"/>
            <w:hideMark/>
          </w:tcPr>
          <w:p w:rsidR="00057D65" w:rsidRPr="00057D65" w:rsidRDefault="00057D65" w:rsidP="00057D65">
            <w:pPr>
              <w:pStyle w:val="ab"/>
              <w:spacing w:before="0" w:line="276" w:lineRule="auto"/>
              <w:jc w:val="center"/>
              <w:rPr>
                <w:rFonts w:ascii="Times New Roman" w:eastAsia="Calibri" w:hAnsi="Times New Roman"/>
                <w:sz w:val="28"/>
                <w:szCs w:val="28"/>
                <w:lang w:eastAsia="en-US"/>
              </w:rPr>
            </w:pPr>
            <w:r w:rsidRPr="00057D65">
              <w:rPr>
                <w:rFonts w:ascii="Times New Roman" w:eastAsia="Calibri" w:hAnsi="Times New Roman"/>
                <w:sz w:val="28"/>
                <w:szCs w:val="28"/>
                <w:lang w:eastAsia="en-US"/>
              </w:rPr>
              <w:t>4</w:t>
            </w:r>
          </w:p>
        </w:tc>
      </w:tr>
    </w:tbl>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.5. Подання декларації і строки сплати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.5.1</w:t>
      </w:r>
      <w:r w:rsidRPr="00057D65">
        <w:rPr>
          <w:rFonts w:ascii="Times New Roman" w:eastAsia="Calibri" w:hAnsi="Times New Roman"/>
          <w:sz w:val="28"/>
          <w:szCs w:val="28"/>
          <w:lang w:eastAsia="en-US"/>
        </w:rPr>
        <w:t>. Базовий податковий (звітний) період є календарний місяць.</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.5.2. До закінчення визначеного розділом II цього Кодексу граничного строку подання податкових декларацій за податковий (звітний) період, визначений цією статтею, платник подає за формою, встановленою у порядку, передбаченому статтею 46 цього Кодексу, податкову декларацію:</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за місцезнаходженням ділянки нафтогазоносних надр, з якої видобуті нафта, конденсат чи природний газ, у разі розміщення такої ділянки надр у межах території суходолу України;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за місцем обліку платника плати у разі розміщення ділянки надр, з якої видобуто нафту, конденсат чи природний газ, в межах континентального шельфу та/або виключної (морської) економічної зони України.</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.5.3. Сума податкових зобов’язань з плати, визначена у податковій декларації за податковий (звітний) період, сплачується платником до бюджету протягом 10 календарних днів після закінчення граничного строку подання такої податкової декларації.</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.5.4. Податкові зобов’язання зі сплати плати за користування ділянками нафтогазоносних надр не нараховуються з початку місяця, наступного за місяцем сплати користувачем рентної плати за користування надрами для видобутку нафти і газу щодо відповідної ділянки нафтогазоносних надр.</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.5.5. У випадку припинення внесення рентної плати за користування надрами для видобутку нафти і газу податкові зобов’язання зі сплати плати за користування ділянками нафтогазоносних надр нараховуються на другий місяць несплати рентної плати за користування надрами для видобутку нафти і газу щодо відповідної ділянки нафтогазоносних надр відповідно до положень ст. 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.4. цього Кодексу.</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.6. Відповідальність платників податку та контроль за її справлянням</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.6.1. На платника податку покладається відповідальність за правильність обчислення, повноту і своєчасність її внесення до бюджету, а також за своєчасність подання контролюючим органам відповідних податкових декларацій згідно з нормами цього Кодексу та інших законодавчих актів.</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lastRenderedPageBreak/>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.6.2. На суму податкових зобов’язань з її плати, що нарахована платником за податковий (звітний) період, але не сплачена протягом 10 календарних днів, що настають за останнім календарним днем граничного строку подання податкової декларації, нараховується пеня в порядку, встановленому розділом II цього Кодексу.</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.6.3. Контроль за правильністю обчислення, своєчасністю і повнотою справляння плати здійснюють контролюючі органи</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 xml:space="preserve">7. </w:t>
      </w:r>
      <w:r>
        <w:rPr>
          <w:rFonts w:ascii="Times New Roman" w:eastAsia="Calibri" w:hAnsi="Times New Roman"/>
          <w:sz w:val="28"/>
          <w:szCs w:val="28"/>
          <w:lang w:eastAsia="en-US"/>
        </w:rPr>
        <w:t>Перше речення п</w:t>
      </w:r>
      <w:r w:rsidRPr="00057D65">
        <w:rPr>
          <w:rFonts w:ascii="Times New Roman" w:eastAsia="Calibri" w:hAnsi="Times New Roman"/>
          <w:sz w:val="28"/>
          <w:szCs w:val="28"/>
          <w:lang w:eastAsia="en-US"/>
        </w:rPr>
        <w:t>ункт</w:t>
      </w:r>
      <w:r>
        <w:rPr>
          <w:rFonts w:ascii="Times New Roman" w:eastAsia="Calibri" w:hAnsi="Times New Roman"/>
          <w:sz w:val="28"/>
          <w:szCs w:val="28"/>
          <w:lang w:eastAsia="en-US"/>
        </w:rPr>
        <w:t>у</w:t>
      </w:r>
      <w:r w:rsidRPr="00057D65">
        <w:rPr>
          <w:rFonts w:ascii="Times New Roman" w:eastAsia="Calibri" w:hAnsi="Times New Roman"/>
          <w:sz w:val="28"/>
          <w:szCs w:val="28"/>
          <w:lang w:eastAsia="en-US"/>
        </w:rPr>
        <w:t xml:space="preserve"> 2 підрозділу 9</w:t>
      </w:r>
      <w:r w:rsidRPr="00057D65">
        <w:rPr>
          <w:rFonts w:ascii="Times New Roman" w:eastAsia="Calibri" w:hAnsi="Times New Roman"/>
          <w:sz w:val="28"/>
          <w:szCs w:val="28"/>
          <w:vertAlign w:val="superscript"/>
          <w:lang w:eastAsia="en-US"/>
        </w:rPr>
        <w:t>1</w:t>
      </w:r>
      <w:r w:rsidRPr="00057D65">
        <w:rPr>
          <w:rFonts w:ascii="Times New Roman" w:eastAsia="Calibri" w:hAnsi="Times New Roman"/>
          <w:sz w:val="28"/>
          <w:szCs w:val="28"/>
          <w:lang w:eastAsia="en-US"/>
        </w:rPr>
        <w:t xml:space="preserve"> розділу XX </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Перехідні положення</w:t>
      </w: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 xml:space="preserve"> викласти в такій редакції:</w:t>
      </w:r>
    </w:p>
    <w:p w:rsidR="00057D65" w:rsidRPr="00057D65" w:rsidRDefault="00057D65" w:rsidP="00057D65">
      <w:pPr>
        <w:pStyle w:val="ab"/>
        <w:spacing w:before="0" w:line="276"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sidRPr="00057D65">
        <w:rPr>
          <w:rFonts w:ascii="Times New Roman" w:eastAsia="Calibri" w:hAnsi="Times New Roman"/>
          <w:sz w:val="28"/>
          <w:szCs w:val="28"/>
          <w:lang w:eastAsia="en-US"/>
        </w:rPr>
        <w:t>2. Держава гарантує, що стимулююча ставка рентної плати за користування надрами для природного газу, видобутого із нових свердловин, встановлена цим Кодексом станом на 1 січня 2018 року, буде застосовуватися протягом не менше п’яти років після по</w:t>
      </w:r>
      <w:r>
        <w:rPr>
          <w:rFonts w:ascii="Times New Roman" w:eastAsia="Calibri" w:hAnsi="Times New Roman"/>
          <w:sz w:val="28"/>
          <w:szCs w:val="28"/>
          <w:lang w:eastAsia="en-US"/>
        </w:rPr>
        <w:t>чатку буріння таких свердловин"</w:t>
      </w:r>
      <w:r w:rsidRPr="00057D65">
        <w:rPr>
          <w:rFonts w:ascii="Times New Roman" w:eastAsia="Calibri" w:hAnsi="Times New Roman"/>
          <w:sz w:val="28"/>
          <w:szCs w:val="28"/>
          <w:lang w:eastAsia="en-US"/>
        </w:rPr>
        <w:t>.</w:t>
      </w:r>
    </w:p>
    <w:p w:rsidR="00586B78" w:rsidRPr="00057D65" w:rsidRDefault="00586B78" w:rsidP="00057D65">
      <w:pPr>
        <w:spacing w:after="0"/>
        <w:ind w:firstLine="567"/>
        <w:jc w:val="both"/>
        <w:rPr>
          <w:rFonts w:ascii="Times New Roman" w:hAnsi="Times New Roman"/>
          <w:sz w:val="28"/>
          <w:szCs w:val="28"/>
          <w:lang w:val="uk-UA" w:eastAsia="ru-RU"/>
        </w:rPr>
      </w:pPr>
      <w:r w:rsidRPr="00057D65">
        <w:rPr>
          <w:rFonts w:ascii="Times New Roman" w:hAnsi="Times New Roman"/>
          <w:sz w:val="28"/>
          <w:szCs w:val="28"/>
          <w:lang w:val="uk-UA" w:eastAsia="ru-RU"/>
        </w:rPr>
        <w:t xml:space="preserve">II. </w:t>
      </w:r>
      <w:bookmarkStart w:id="2" w:name="n128"/>
      <w:bookmarkEnd w:id="2"/>
      <w:r w:rsidRPr="00057D65">
        <w:rPr>
          <w:rFonts w:ascii="Times New Roman" w:hAnsi="Times New Roman"/>
          <w:sz w:val="28"/>
          <w:szCs w:val="28"/>
          <w:lang w:val="uk-UA" w:eastAsia="ru-RU"/>
        </w:rPr>
        <w:t>Прикінцеві та перехідні положення</w:t>
      </w:r>
    </w:p>
    <w:p w:rsidR="00586B78" w:rsidRDefault="00586B78" w:rsidP="00057D65">
      <w:pPr>
        <w:pStyle w:val="ab"/>
        <w:spacing w:before="0" w:line="276" w:lineRule="auto"/>
        <w:rPr>
          <w:rFonts w:ascii="Times New Roman" w:eastAsia="Calibri" w:hAnsi="Times New Roman"/>
          <w:sz w:val="28"/>
          <w:szCs w:val="28"/>
          <w:lang w:eastAsia="en-US"/>
        </w:rPr>
      </w:pPr>
      <w:r w:rsidRPr="00057D65">
        <w:rPr>
          <w:rFonts w:ascii="Times New Roman" w:eastAsia="Calibri" w:hAnsi="Times New Roman"/>
          <w:sz w:val="28"/>
          <w:szCs w:val="28"/>
          <w:lang w:eastAsia="en-US"/>
        </w:rPr>
        <w:t xml:space="preserve">1. </w:t>
      </w:r>
      <w:bookmarkStart w:id="3" w:name="n129"/>
      <w:bookmarkEnd w:id="3"/>
      <w:r w:rsidR="00057D65" w:rsidRPr="00D56D05">
        <w:rPr>
          <w:rFonts w:ascii="Times New Roman" w:eastAsia="Calibri" w:hAnsi="Times New Roman"/>
          <w:sz w:val="28"/>
          <w:szCs w:val="28"/>
          <w:lang w:eastAsia="en-US"/>
        </w:rPr>
        <w:t xml:space="preserve">Цей Закон набирає чинності з 1 </w:t>
      </w:r>
      <w:r w:rsidR="00057D65">
        <w:rPr>
          <w:rFonts w:ascii="Times New Roman" w:eastAsia="Calibri" w:hAnsi="Times New Roman"/>
          <w:sz w:val="28"/>
          <w:szCs w:val="28"/>
          <w:lang w:eastAsia="en-US"/>
        </w:rPr>
        <w:t>січня</w:t>
      </w:r>
      <w:r w:rsidR="00057D65" w:rsidRPr="00D56D05">
        <w:rPr>
          <w:rFonts w:ascii="Times New Roman" w:eastAsia="Calibri" w:hAnsi="Times New Roman"/>
          <w:sz w:val="28"/>
          <w:szCs w:val="28"/>
          <w:lang w:eastAsia="en-US"/>
        </w:rPr>
        <w:t xml:space="preserve"> 202</w:t>
      </w:r>
      <w:r w:rsidR="00057D65">
        <w:rPr>
          <w:rFonts w:ascii="Times New Roman" w:eastAsia="Calibri" w:hAnsi="Times New Roman"/>
          <w:sz w:val="28"/>
          <w:szCs w:val="28"/>
          <w:lang w:eastAsia="en-US"/>
        </w:rPr>
        <w:t>1</w:t>
      </w:r>
      <w:r w:rsidR="00057D65" w:rsidRPr="00D56D05">
        <w:rPr>
          <w:rFonts w:ascii="Times New Roman" w:eastAsia="Calibri" w:hAnsi="Times New Roman"/>
          <w:sz w:val="28"/>
          <w:szCs w:val="28"/>
          <w:lang w:eastAsia="en-US"/>
        </w:rPr>
        <w:t xml:space="preserve"> року, крім пункту </w:t>
      </w:r>
      <w:r w:rsidR="00057D65">
        <w:rPr>
          <w:rFonts w:ascii="Times New Roman" w:eastAsia="Calibri" w:hAnsi="Times New Roman"/>
          <w:sz w:val="28"/>
          <w:szCs w:val="28"/>
          <w:lang w:eastAsia="en-US"/>
        </w:rPr>
        <w:t>7</w:t>
      </w:r>
      <w:r w:rsidR="00057D65" w:rsidRPr="00D56D05">
        <w:rPr>
          <w:rFonts w:ascii="Times New Roman" w:eastAsia="Calibri" w:hAnsi="Times New Roman"/>
          <w:sz w:val="28"/>
          <w:szCs w:val="28"/>
          <w:lang w:eastAsia="en-US"/>
        </w:rPr>
        <w:t xml:space="preserve"> </w:t>
      </w:r>
      <w:r w:rsidR="00057D65">
        <w:rPr>
          <w:rFonts w:ascii="Times New Roman" w:eastAsia="Calibri" w:hAnsi="Times New Roman"/>
          <w:sz w:val="28"/>
          <w:szCs w:val="28"/>
          <w:lang w:eastAsia="en-US"/>
        </w:rPr>
        <w:t xml:space="preserve">розділу </w:t>
      </w:r>
      <w:r w:rsidR="00057D65" w:rsidRPr="00057D65">
        <w:rPr>
          <w:rFonts w:ascii="Times New Roman" w:eastAsia="Calibri" w:hAnsi="Times New Roman"/>
          <w:sz w:val="28"/>
          <w:szCs w:val="28"/>
          <w:lang w:eastAsia="en-US"/>
        </w:rPr>
        <w:t>I</w:t>
      </w:r>
      <w:r w:rsidR="00057D65">
        <w:rPr>
          <w:rFonts w:ascii="Times New Roman" w:eastAsia="Calibri" w:hAnsi="Times New Roman"/>
          <w:sz w:val="28"/>
          <w:szCs w:val="28"/>
          <w:lang w:eastAsia="en-US"/>
        </w:rPr>
        <w:t xml:space="preserve"> цього </w:t>
      </w:r>
      <w:r w:rsidR="00057D65" w:rsidRPr="00D56D05">
        <w:rPr>
          <w:rFonts w:ascii="Times New Roman" w:eastAsia="Calibri" w:hAnsi="Times New Roman"/>
          <w:sz w:val="28"/>
          <w:szCs w:val="28"/>
          <w:lang w:eastAsia="en-US"/>
        </w:rPr>
        <w:t xml:space="preserve">Закону, який набирає чинності </w:t>
      </w:r>
      <w:r w:rsidR="00057D65">
        <w:rPr>
          <w:rFonts w:ascii="Times New Roman" w:eastAsia="Calibri" w:hAnsi="Times New Roman"/>
          <w:sz w:val="28"/>
          <w:szCs w:val="28"/>
          <w:lang w:eastAsia="en-US"/>
        </w:rPr>
        <w:t>з 1 липня 2020 року</w:t>
      </w:r>
      <w:r w:rsidR="00057D65" w:rsidRPr="00D56D05">
        <w:rPr>
          <w:rFonts w:ascii="Times New Roman" w:eastAsia="Calibri" w:hAnsi="Times New Roman"/>
          <w:sz w:val="28"/>
          <w:szCs w:val="28"/>
          <w:lang w:eastAsia="en-US"/>
        </w:rPr>
        <w:t>.</w:t>
      </w:r>
    </w:p>
    <w:p w:rsidR="00057D65" w:rsidRPr="00057D65" w:rsidRDefault="00057D65" w:rsidP="00057D65">
      <w:pPr>
        <w:pStyle w:val="ab"/>
        <w:spacing w:before="0" w:line="276" w:lineRule="auto"/>
        <w:rPr>
          <w:rFonts w:ascii="Times New Roman" w:eastAsia="Calibri" w:hAnsi="Times New Roman"/>
          <w:sz w:val="28"/>
          <w:szCs w:val="28"/>
          <w:lang w:eastAsia="en-US"/>
        </w:rPr>
      </w:pPr>
      <w:r w:rsidRPr="00D56D05">
        <w:rPr>
          <w:rFonts w:ascii="Times New Roman" w:eastAsia="Calibri" w:hAnsi="Times New Roman"/>
          <w:sz w:val="28"/>
          <w:szCs w:val="28"/>
          <w:lang w:eastAsia="en-US"/>
        </w:rPr>
        <w:t>2. Установити, що тимчасово, до 1 січня 2</w:t>
      </w:r>
      <w:r>
        <w:rPr>
          <w:rFonts w:ascii="Times New Roman" w:eastAsia="Calibri" w:hAnsi="Times New Roman"/>
          <w:sz w:val="28"/>
          <w:szCs w:val="28"/>
          <w:lang w:eastAsia="en-US"/>
        </w:rPr>
        <w:t>022</w:t>
      </w:r>
      <w:r w:rsidRPr="00D56D05">
        <w:rPr>
          <w:rFonts w:ascii="Times New Roman" w:eastAsia="Calibri" w:hAnsi="Times New Roman"/>
          <w:sz w:val="28"/>
          <w:szCs w:val="28"/>
          <w:lang w:eastAsia="en-US"/>
        </w:rPr>
        <w:t xml:space="preserve"> року, </w:t>
      </w:r>
      <w:r>
        <w:rPr>
          <w:rFonts w:ascii="Times New Roman" w:eastAsia="Calibri" w:hAnsi="Times New Roman"/>
          <w:sz w:val="28"/>
          <w:szCs w:val="28"/>
          <w:lang w:eastAsia="en-US"/>
        </w:rPr>
        <w:t>величина коригуючого коефіцієнта</w:t>
      </w:r>
      <w:r w:rsidRPr="00D56D05">
        <w:rPr>
          <w:rFonts w:ascii="Times New Roman" w:eastAsia="Calibri" w:hAnsi="Times New Roman"/>
          <w:sz w:val="28"/>
          <w:szCs w:val="28"/>
          <w:lang w:eastAsia="en-US"/>
        </w:rPr>
        <w:t>, який визначаєть</w:t>
      </w:r>
      <w:r>
        <w:rPr>
          <w:rFonts w:ascii="Times New Roman" w:eastAsia="Calibri" w:hAnsi="Times New Roman"/>
          <w:sz w:val="28"/>
          <w:szCs w:val="28"/>
          <w:lang w:eastAsia="en-US"/>
        </w:rPr>
        <w:t xml:space="preserve">ся відповідно до норм підпункту </w:t>
      </w:r>
      <w:r w:rsidRPr="00D56D05">
        <w:rPr>
          <w:rFonts w:ascii="Times New Roman" w:eastAsia="Calibri" w:hAnsi="Times New Roman"/>
          <w:sz w:val="28"/>
          <w:szCs w:val="28"/>
          <w:lang w:eastAsia="en-US"/>
        </w:rPr>
        <w:t>264</w:t>
      </w:r>
      <w:r w:rsidRPr="00057D6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.4.1</w:t>
      </w:r>
      <w:r w:rsidRPr="00D56D05">
        <w:rPr>
          <w:rFonts w:ascii="Times New Roman" w:eastAsia="Calibri" w:hAnsi="Times New Roman"/>
          <w:sz w:val="28"/>
          <w:szCs w:val="28"/>
          <w:lang w:eastAsia="en-US"/>
        </w:rPr>
        <w:t xml:space="preserve"> пункту 264</w:t>
      </w:r>
      <w:r w:rsidRPr="00057D6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.4 статті 264</w:t>
      </w:r>
      <w:r w:rsidRPr="00057D6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Податкового кодексу України залежно від строку з моменту отримання відповідного спеціального дозволу на користування надрами, дорівнює </w:t>
      </w:r>
      <w:r>
        <w:rPr>
          <w:rFonts w:ascii="Times New Roman" w:eastAsia="Calibri" w:hAnsi="Times New Roman"/>
          <w:sz w:val="28"/>
          <w:szCs w:val="28"/>
          <w:lang w:eastAsia="en-US"/>
        </w:rPr>
        <w:t>1</w:t>
      </w:r>
      <w:r w:rsidRPr="00D56D05">
        <w:rPr>
          <w:rFonts w:ascii="Times New Roman" w:eastAsia="Calibri" w:hAnsi="Times New Roman"/>
          <w:sz w:val="28"/>
          <w:szCs w:val="28"/>
          <w:lang w:eastAsia="en-US"/>
        </w:rPr>
        <w:t>.</w:t>
      </w:r>
    </w:p>
    <w:p w:rsidR="00586B78" w:rsidRPr="00057D65" w:rsidRDefault="00057D65" w:rsidP="00057D65">
      <w:pPr>
        <w:spacing w:after="0"/>
        <w:ind w:firstLine="567"/>
        <w:contextualSpacing/>
        <w:jc w:val="both"/>
        <w:rPr>
          <w:rFonts w:ascii="Times New Roman" w:hAnsi="Times New Roman"/>
          <w:color w:val="000000"/>
          <w:sz w:val="28"/>
          <w:szCs w:val="28"/>
          <w:lang w:val="uk-UA" w:eastAsia="uk-UA"/>
        </w:rPr>
      </w:pPr>
      <w:r>
        <w:rPr>
          <w:rFonts w:ascii="Times New Roman" w:eastAsia="Calibri" w:hAnsi="Times New Roman"/>
          <w:sz w:val="28"/>
          <w:szCs w:val="28"/>
          <w:lang w:val="uk-UA"/>
        </w:rPr>
        <w:t>3</w:t>
      </w:r>
      <w:r w:rsidR="00586B78" w:rsidRPr="00057D65">
        <w:rPr>
          <w:rFonts w:ascii="Times New Roman" w:eastAsia="Calibri" w:hAnsi="Times New Roman"/>
          <w:sz w:val="28"/>
          <w:szCs w:val="28"/>
          <w:lang w:val="uk-UA"/>
        </w:rPr>
        <w:t>. Кабінету Міністрів</w:t>
      </w:r>
      <w:r w:rsidR="00586B78" w:rsidRPr="00057D65">
        <w:rPr>
          <w:rFonts w:ascii="Times New Roman" w:hAnsi="Times New Roman"/>
          <w:color w:val="000000"/>
          <w:sz w:val="28"/>
          <w:szCs w:val="28"/>
          <w:lang w:val="uk-UA" w:eastAsia="uk-UA"/>
        </w:rPr>
        <w:t xml:space="preserve"> України </w:t>
      </w:r>
      <w:bookmarkStart w:id="4" w:name="n130"/>
      <w:bookmarkEnd w:id="4"/>
      <w:r w:rsidR="00586B78" w:rsidRPr="00057D65">
        <w:rPr>
          <w:rFonts w:ascii="Times New Roman" w:hAnsi="Times New Roman"/>
          <w:color w:val="000000"/>
          <w:sz w:val="28"/>
          <w:szCs w:val="28"/>
          <w:lang w:val="uk-UA" w:eastAsia="uk-UA"/>
        </w:rPr>
        <w:t>у місячний строк з дня набрання чинності цим Законом:</w:t>
      </w:r>
    </w:p>
    <w:p w:rsidR="00586B78" w:rsidRPr="00057D65" w:rsidRDefault="00586B78" w:rsidP="00057D65">
      <w:pPr>
        <w:shd w:val="clear" w:color="auto" w:fill="FFFFFF"/>
        <w:spacing w:after="0"/>
        <w:ind w:firstLine="567"/>
        <w:jc w:val="both"/>
        <w:textAlignment w:val="baseline"/>
        <w:rPr>
          <w:rFonts w:ascii="Times New Roman" w:hAnsi="Times New Roman"/>
          <w:sz w:val="28"/>
          <w:szCs w:val="28"/>
          <w:lang w:val="uk-UA" w:eastAsia="ru-RU"/>
        </w:rPr>
      </w:pPr>
      <w:r w:rsidRPr="00057D65">
        <w:rPr>
          <w:rFonts w:ascii="Times New Roman" w:hAnsi="Times New Roman"/>
          <w:sz w:val="28"/>
          <w:szCs w:val="28"/>
          <w:lang w:val="uk-UA" w:eastAsia="ru-RU"/>
        </w:rPr>
        <w:t>1) привести свої нормативно-правові акти у відповідність із цим Законом;</w:t>
      </w:r>
    </w:p>
    <w:p w:rsidR="00586B78" w:rsidRPr="00057D65" w:rsidRDefault="00586B78" w:rsidP="00057D65">
      <w:pPr>
        <w:shd w:val="clear" w:color="auto" w:fill="FFFFFF"/>
        <w:spacing w:after="0"/>
        <w:ind w:firstLine="567"/>
        <w:jc w:val="both"/>
        <w:textAlignment w:val="baseline"/>
        <w:rPr>
          <w:rFonts w:ascii="Times New Roman" w:hAnsi="Times New Roman"/>
          <w:sz w:val="28"/>
          <w:szCs w:val="28"/>
          <w:lang w:val="uk-UA" w:eastAsia="ru-RU"/>
        </w:rPr>
      </w:pPr>
      <w:r w:rsidRPr="00057D65">
        <w:rPr>
          <w:rFonts w:ascii="Times New Roman" w:hAnsi="Times New Roman"/>
          <w:sz w:val="28"/>
          <w:szCs w:val="28"/>
          <w:lang w:val="uk-UA" w:eastAsia="ru-RU"/>
        </w:rPr>
        <w:t>2) забезпечити перегляд та приведення центральними органами виконавчої влади їх нормативно-правових актів у відповідність із цим Законом.</w:t>
      </w:r>
    </w:p>
    <w:p w:rsidR="00586B78" w:rsidRPr="00057D65" w:rsidRDefault="00586B78" w:rsidP="00057D65">
      <w:pPr>
        <w:spacing w:after="0"/>
        <w:ind w:firstLine="720"/>
        <w:jc w:val="both"/>
        <w:rPr>
          <w:rFonts w:ascii="Times New Roman" w:hAnsi="Times New Roman"/>
          <w:sz w:val="28"/>
          <w:szCs w:val="28"/>
          <w:lang w:val="uk-UA" w:eastAsia="ru-RU"/>
        </w:rPr>
      </w:pPr>
      <w:r w:rsidRPr="00057D65">
        <w:rPr>
          <w:rFonts w:ascii="Times New Roman" w:hAnsi="Times New Roman"/>
          <w:sz w:val="28"/>
          <w:szCs w:val="28"/>
          <w:lang w:val="uk-UA" w:eastAsia="ru-RU"/>
        </w:rPr>
        <w:t xml:space="preserve"> </w:t>
      </w:r>
    </w:p>
    <w:p w:rsidR="00586B78" w:rsidRPr="00F02CA6" w:rsidRDefault="00586B78" w:rsidP="00F02CA6">
      <w:pPr>
        <w:spacing w:after="0"/>
        <w:ind w:firstLine="720"/>
        <w:contextualSpacing/>
        <w:jc w:val="both"/>
        <w:rPr>
          <w:rFonts w:ascii="Times New Roman" w:hAnsi="Times New Roman"/>
          <w:b/>
          <w:bCs/>
          <w:color w:val="000000"/>
          <w:sz w:val="28"/>
          <w:szCs w:val="28"/>
          <w:lang w:val="uk-UA" w:eastAsia="uk-UA"/>
        </w:rPr>
      </w:pPr>
      <w:r w:rsidRPr="00F02CA6">
        <w:rPr>
          <w:rFonts w:ascii="Times New Roman" w:hAnsi="Times New Roman"/>
          <w:b/>
          <w:bCs/>
          <w:color w:val="000000"/>
          <w:sz w:val="28"/>
          <w:szCs w:val="28"/>
          <w:lang w:val="uk-UA" w:eastAsia="uk-UA"/>
        </w:rPr>
        <w:t xml:space="preserve">Голова Верховної Ради                                                 </w:t>
      </w:r>
    </w:p>
    <w:p w:rsidR="00586B78" w:rsidRPr="00F02CA6" w:rsidRDefault="00586B78" w:rsidP="00F02CA6">
      <w:pPr>
        <w:spacing w:after="0"/>
        <w:ind w:firstLine="720"/>
        <w:contextualSpacing/>
        <w:jc w:val="both"/>
        <w:rPr>
          <w:rFonts w:ascii="Times New Roman" w:hAnsi="Times New Roman"/>
          <w:lang w:val="uk-UA"/>
        </w:rPr>
      </w:pPr>
      <w:r w:rsidRPr="00F02CA6">
        <w:rPr>
          <w:rFonts w:ascii="Times New Roman" w:hAnsi="Times New Roman"/>
          <w:b/>
          <w:bCs/>
          <w:color w:val="000000"/>
          <w:sz w:val="28"/>
          <w:szCs w:val="28"/>
          <w:lang w:val="uk-UA" w:eastAsia="uk-UA"/>
        </w:rPr>
        <w:t xml:space="preserve">           України</w:t>
      </w:r>
    </w:p>
    <w:sectPr w:rsidR="00586B78" w:rsidRPr="00F02CA6" w:rsidSect="00317654">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20"/>
      <w:titlePg/>
      <w:docGrid w:linePitch="2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D60" w:rsidRDefault="00CE2D60">
      <w:pPr>
        <w:spacing w:after="0" w:line="240" w:lineRule="auto"/>
      </w:pPr>
      <w:r>
        <w:separator/>
      </w:r>
    </w:p>
  </w:endnote>
  <w:endnote w:type="continuationSeparator" w:id="0">
    <w:p w:rsidR="00CE2D60" w:rsidRDefault="00CE2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Segoe UI"/>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BF" w:rsidRDefault="005870BF">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BF" w:rsidRDefault="005870BF">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BF" w:rsidRDefault="005870B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D60" w:rsidRDefault="00CE2D60">
      <w:pPr>
        <w:spacing w:after="0" w:line="240" w:lineRule="auto"/>
      </w:pPr>
      <w:r>
        <w:separator/>
      </w:r>
    </w:p>
  </w:footnote>
  <w:footnote w:type="continuationSeparator" w:id="0">
    <w:p w:rsidR="00CE2D60" w:rsidRDefault="00CE2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18F" w:rsidRPr="005870BF" w:rsidRDefault="00CE2D60" w:rsidP="005870B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18F" w:rsidRPr="005870BF" w:rsidRDefault="00CE2D60" w:rsidP="005870B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0BF" w:rsidRDefault="005870B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2C09ED"/>
    <w:multiLevelType w:val="hybridMultilevel"/>
    <w:tmpl w:val="83D299DA"/>
    <w:lvl w:ilvl="0" w:tplc="BAD0417C">
      <w:start w:val="1"/>
      <w:numFmt w:val="upperRoman"/>
      <w:lvlText w:val="%1."/>
      <w:lvlJc w:val="left"/>
      <w:pPr>
        <w:ind w:left="1145" w:hanging="72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 w15:restartNumberingAfterBreak="0">
    <w:nsid w:val="57C91181"/>
    <w:multiLevelType w:val="hybridMultilevel"/>
    <w:tmpl w:val="034CEFE4"/>
    <w:lvl w:ilvl="0" w:tplc="12EE9A5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C060AE1"/>
    <w:multiLevelType w:val="hybridMultilevel"/>
    <w:tmpl w:val="0CB279B6"/>
    <w:lvl w:ilvl="0" w:tplc="A5FE96C2">
      <w:start w:val="1"/>
      <w:numFmt w:val="decimal"/>
      <w:lvlText w:val="%1."/>
      <w:lvlJc w:val="center"/>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B78"/>
    <w:rsid w:val="00020E1A"/>
    <w:rsid w:val="00057D65"/>
    <w:rsid w:val="00094EDC"/>
    <w:rsid w:val="000A144A"/>
    <w:rsid w:val="000B7C64"/>
    <w:rsid w:val="000C55AF"/>
    <w:rsid w:val="0010689D"/>
    <w:rsid w:val="00127E8F"/>
    <w:rsid w:val="001703C5"/>
    <w:rsid w:val="0018218D"/>
    <w:rsid w:val="00187141"/>
    <w:rsid w:val="001A2836"/>
    <w:rsid w:val="001C3393"/>
    <w:rsid w:val="001C49AC"/>
    <w:rsid w:val="001D18A7"/>
    <w:rsid w:val="001F397B"/>
    <w:rsid w:val="0021507E"/>
    <w:rsid w:val="002B6438"/>
    <w:rsid w:val="002B71CD"/>
    <w:rsid w:val="002C3318"/>
    <w:rsid w:val="002F13B6"/>
    <w:rsid w:val="002F7D3D"/>
    <w:rsid w:val="0031499C"/>
    <w:rsid w:val="00335942"/>
    <w:rsid w:val="00354DC7"/>
    <w:rsid w:val="00370A27"/>
    <w:rsid w:val="00376A6C"/>
    <w:rsid w:val="003C557E"/>
    <w:rsid w:val="003D3A2F"/>
    <w:rsid w:val="0047419C"/>
    <w:rsid w:val="00476C2D"/>
    <w:rsid w:val="004A0B99"/>
    <w:rsid w:val="004B5CBF"/>
    <w:rsid w:val="004C5840"/>
    <w:rsid w:val="004D1214"/>
    <w:rsid w:val="004E41B3"/>
    <w:rsid w:val="00512757"/>
    <w:rsid w:val="005144B0"/>
    <w:rsid w:val="00544255"/>
    <w:rsid w:val="00546D9B"/>
    <w:rsid w:val="005843BE"/>
    <w:rsid w:val="00586B78"/>
    <w:rsid w:val="005870BF"/>
    <w:rsid w:val="005B66C8"/>
    <w:rsid w:val="005F4F4A"/>
    <w:rsid w:val="00664B77"/>
    <w:rsid w:val="00673350"/>
    <w:rsid w:val="00694335"/>
    <w:rsid w:val="006E0A9C"/>
    <w:rsid w:val="006E41AF"/>
    <w:rsid w:val="006F18DE"/>
    <w:rsid w:val="006F4C8D"/>
    <w:rsid w:val="00751C7F"/>
    <w:rsid w:val="0076763B"/>
    <w:rsid w:val="0077388E"/>
    <w:rsid w:val="0082308D"/>
    <w:rsid w:val="00840D81"/>
    <w:rsid w:val="00905536"/>
    <w:rsid w:val="009156F4"/>
    <w:rsid w:val="00927C4F"/>
    <w:rsid w:val="009422DD"/>
    <w:rsid w:val="00983483"/>
    <w:rsid w:val="009C392A"/>
    <w:rsid w:val="00A46C18"/>
    <w:rsid w:val="00A47EBC"/>
    <w:rsid w:val="00AA1633"/>
    <w:rsid w:val="00AA7F0F"/>
    <w:rsid w:val="00AC5197"/>
    <w:rsid w:val="00B158DD"/>
    <w:rsid w:val="00B541D7"/>
    <w:rsid w:val="00BA3685"/>
    <w:rsid w:val="00BB18AE"/>
    <w:rsid w:val="00C235A2"/>
    <w:rsid w:val="00C26BFC"/>
    <w:rsid w:val="00C27656"/>
    <w:rsid w:val="00C32524"/>
    <w:rsid w:val="00C827A5"/>
    <w:rsid w:val="00CD3634"/>
    <w:rsid w:val="00CE2D60"/>
    <w:rsid w:val="00CE3A0B"/>
    <w:rsid w:val="00D4724B"/>
    <w:rsid w:val="00D54B9C"/>
    <w:rsid w:val="00D57DC4"/>
    <w:rsid w:val="00D66C3F"/>
    <w:rsid w:val="00DC5785"/>
    <w:rsid w:val="00E3182A"/>
    <w:rsid w:val="00E62C6A"/>
    <w:rsid w:val="00EB28AC"/>
    <w:rsid w:val="00EB78BA"/>
    <w:rsid w:val="00EC2230"/>
    <w:rsid w:val="00F02CA6"/>
    <w:rsid w:val="00F247D8"/>
    <w:rsid w:val="00F73A2E"/>
    <w:rsid w:val="00FF0D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99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B78"/>
    <w:rPr>
      <w:rFonts w:eastAsia="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6B7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6B78"/>
    <w:rPr>
      <w:rFonts w:eastAsia="Times New Roman" w:cs="Times New Roman"/>
      <w:lang w:val="ru-RU"/>
    </w:rPr>
  </w:style>
  <w:style w:type="paragraph" w:styleId="a5">
    <w:name w:val="List Paragraph"/>
    <w:basedOn w:val="a"/>
    <w:uiPriority w:val="34"/>
    <w:qFormat/>
    <w:rsid w:val="00E62C6A"/>
    <w:pPr>
      <w:ind w:left="720"/>
      <w:contextualSpacing/>
    </w:pPr>
  </w:style>
  <w:style w:type="paragraph" w:styleId="a6">
    <w:name w:val="footer"/>
    <w:basedOn w:val="a"/>
    <w:link w:val="a7"/>
    <w:uiPriority w:val="99"/>
    <w:unhideWhenUsed/>
    <w:rsid w:val="00C235A2"/>
    <w:pPr>
      <w:tabs>
        <w:tab w:val="center" w:pos="4819"/>
        <w:tab w:val="right" w:pos="9639"/>
      </w:tabs>
      <w:spacing w:after="0" w:line="240" w:lineRule="auto"/>
    </w:pPr>
  </w:style>
  <w:style w:type="character" w:customStyle="1" w:styleId="a7">
    <w:name w:val="Нижний колонтитул Знак"/>
    <w:basedOn w:val="a0"/>
    <w:link w:val="a6"/>
    <w:uiPriority w:val="99"/>
    <w:rsid w:val="00C235A2"/>
    <w:rPr>
      <w:rFonts w:eastAsia="Times New Roman" w:cs="Times New Roman"/>
      <w:lang w:val="ru-RU"/>
    </w:rPr>
  </w:style>
  <w:style w:type="paragraph" w:styleId="a8">
    <w:name w:val="Balloon Text"/>
    <w:basedOn w:val="a"/>
    <w:link w:val="a9"/>
    <w:uiPriority w:val="99"/>
    <w:semiHidden/>
    <w:unhideWhenUsed/>
    <w:rsid w:val="004E41B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41B3"/>
    <w:rPr>
      <w:rFonts w:ascii="Tahoma" w:eastAsia="Times New Roman" w:hAnsi="Tahoma" w:cs="Tahoma"/>
      <w:sz w:val="16"/>
      <w:szCs w:val="16"/>
      <w:lang w:val="ru-RU"/>
    </w:rPr>
  </w:style>
  <w:style w:type="character" w:customStyle="1" w:styleId="rvts37">
    <w:name w:val="rvts37"/>
    <w:basedOn w:val="a0"/>
    <w:rsid w:val="00C32524"/>
  </w:style>
  <w:style w:type="paragraph" w:customStyle="1" w:styleId="rvps2">
    <w:name w:val="rvps2"/>
    <w:basedOn w:val="a"/>
    <w:rsid w:val="00694335"/>
    <w:pPr>
      <w:spacing w:before="100" w:beforeAutospacing="1" w:after="100" w:afterAutospacing="1" w:line="240" w:lineRule="auto"/>
    </w:pPr>
    <w:rPr>
      <w:rFonts w:ascii="Times New Roman" w:hAnsi="Times New Roman" w:cs="Calibri"/>
      <w:sz w:val="24"/>
      <w:szCs w:val="24"/>
      <w:lang w:val="uk-UA" w:eastAsia="uk-UA"/>
    </w:rPr>
  </w:style>
  <w:style w:type="paragraph" w:styleId="aa">
    <w:name w:val="Normal (Web)"/>
    <w:basedOn w:val="a"/>
    <w:uiPriority w:val="99"/>
    <w:unhideWhenUsed/>
    <w:rsid w:val="001C49AC"/>
    <w:pPr>
      <w:spacing w:before="100" w:beforeAutospacing="1" w:after="100" w:afterAutospacing="1" w:line="240" w:lineRule="auto"/>
    </w:pPr>
    <w:rPr>
      <w:rFonts w:ascii="Times New Roman" w:eastAsiaTheme="minorEastAsia" w:hAnsi="Times New Roman"/>
      <w:sz w:val="24"/>
      <w:szCs w:val="24"/>
      <w:lang w:val="uk-UA" w:eastAsia="uk-UA"/>
    </w:rPr>
  </w:style>
  <w:style w:type="paragraph" w:customStyle="1" w:styleId="ab">
    <w:name w:val="Нормальний текст"/>
    <w:basedOn w:val="a"/>
    <w:rsid w:val="005F4F4A"/>
    <w:pPr>
      <w:spacing w:before="120" w:after="0" w:line="240" w:lineRule="auto"/>
      <w:ind w:firstLine="567"/>
      <w:jc w:val="both"/>
    </w:pPr>
    <w:rPr>
      <w:rFonts w:ascii="Antiqua" w:hAnsi="Antiqua"/>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961762">
      <w:bodyDiv w:val="1"/>
      <w:marLeft w:val="0"/>
      <w:marRight w:val="0"/>
      <w:marTop w:val="0"/>
      <w:marBottom w:val="0"/>
      <w:divBdr>
        <w:top w:val="none" w:sz="0" w:space="0" w:color="auto"/>
        <w:left w:val="none" w:sz="0" w:space="0" w:color="auto"/>
        <w:bottom w:val="none" w:sz="0" w:space="0" w:color="auto"/>
        <w:right w:val="none" w:sz="0" w:space="0" w:color="auto"/>
      </w:divBdr>
    </w:div>
    <w:div w:id="1513497082">
      <w:bodyDiv w:val="1"/>
      <w:marLeft w:val="0"/>
      <w:marRight w:val="0"/>
      <w:marTop w:val="0"/>
      <w:marBottom w:val="0"/>
      <w:divBdr>
        <w:top w:val="none" w:sz="0" w:space="0" w:color="auto"/>
        <w:left w:val="none" w:sz="0" w:space="0" w:color="auto"/>
        <w:bottom w:val="none" w:sz="0" w:space="0" w:color="auto"/>
        <w:right w:val="none" w:sz="0" w:space="0" w:color="auto"/>
      </w:divBdr>
    </w:div>
    <w:div w:id="1767841064">
      <w:bodyDiv w:val="1"/>
      <w:marLeft w:val="0"/>
      <w:marRight w:val="0"/>
      <w:marTop w:val="0"/>
      <w:marBottom w:val="0"/>
      <w:divBdr>
        <w:top w:val="none" w:sz="0" w:space="0" w:color="auto"/>
        <w:left w:val="none" w:sz="0" w:space="0" w:color="auto"/>
        <w:bottom w:val="none" w:sz="0" w:space="0" w:color="auto"/>
        <w:right w:val="none" w:sz="0" w:space="0" w:color="auto"/>
      </w:divBdr>
    </w:div>
    <w:div w:id="211570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6149</Words>
  <Characters>3505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2020-02-05T11:54:00Z</dcterms:created>
  <dcterms:modified xsi:type="dcterms:W3CDTF">2020-03-05T20:36:00Z</dcterms:modified>
</cp:coreProperties>
</file>