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D3" w:rsidRPr="00F55221" w:rsidRDefault="002919EE" w:rsidP="006D0C7D">
      <w:pPr>
        <w:spacing w:after="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bookmarkStart w:id="0" w:name="n922"/>
      <w:bookmarkEnd w:id="0"/>
      <w:r w:rsidRPr="00F552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ПОЯСНЮВАЛЬНА ЗАПИСКА</w:t>
      </w:r>
      <w:r w:rsidRPr="00F55221">
        <w:rPr>
          <w:rFonts w:ascii="Times New Roman" w:hAnsi="Times New Roman"/>
          <w:sz w:val="24"/>
          <w:szCs w:val="24"/>
          <w:lang w:val="uk-UA"/>
        </w:rPr>
        <w:br/>
      </w:r>
      <w:r w:rsidR="00FE156B" w:rsidRPr="00F552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до проект</w:t>
      </w:r>
      <w:r w:rsidR="0063297C" w:rsidRPr="00F552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</w:t>
      </w:r>
      <w:r w:rsidR="00146DD3" w:rsidRPr="00F552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Закону України «Про запобігання, зменшення та контроль промислового забруднення» </w:t>
      </w:r>
    </w:p>
    <w:p w:rsidR="00146DD3" w:rsidRPr="00F55221" w:rsidRDefault="00146DD3" w:rsidP="006D0C7D">
      <w:pPr>
        <w:spacing w:after="0" w:line="240" w:lineRule="auto"/>
        <w:ind w:left="450" w:right="45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2919EE" w:rsidRPr="00F55221" w:rsidRDefault="002919EE" w:rsidP="006D0C7D">
      <w:pPr>
        <w:spacing w:after="0" w:line="360" w:lineRule="auto"/>
        <w:ind w:firstLine="45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F552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1. Резюме</w:t>
      </w:r>
    </w:p>
    <w:p w:rsidR="002919EE" w:rsidRPr="00F55221" w:rsidRDefault="002919EE" w:rsidP="006D0C7D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n1977"/>
      <w:bookmarkStart w:id="2" w:name="n1978"/>
      <w:bookmarkEnd w:id="1"/>
      <w:bookmarkEnd w:id="2"/>
      <w:r w:rsidRPr="00F55221">
        <w:rPr>
          <w:rFonts w:ascii="Times New Roman" w:hAnsi="Times New Roman"/>
          <w:sz w:val="28"/>
          <w:szCs w:val="28"/>
          <w:lang w:val="uk-UA"/>
        </w:rPr>
        <w:t xml:space="preserve">Метою проекту Закону є встановлення правових та </w:t>
      </w:r>
      <w:r w:rsidR="007E6384" w:rsidRPr="00F55221">
        <w:rPr>
          <w:rFonts w:ascii="Times New Roman" w:hAnsi="Times New Roman"/>
          <w:sz w:val="28"/>
          <w:szCs w:val="28"/>
          <w:lang w:val="uk-UA"/>
        </w:rPr>
        <w:t>організаційних</w:t>
      </w:r>
      <w:r w:rsidRPr="00F55221">
        <w:rPr>
          <w:rFonts w:ascii="Times New Roman" w:hAnsi="Times New Roman"/>
          <w:sz w:val="28"/>
          <w:szCs w:val="28"/>
          <w:lang w:val="uk-UA"/>
        </w:rPr>
        <w:t xml:space="preserve"> засад запобігання, зменшення, контролю та усунення забруднення, що виникає в результаті промислової діяльності, для забезпечення </w:t>
      </w:r>
      <w:r w:rsidR="0063297C" w:rsidRPr="00F55221">
        <w:rPr>
          <w:rFonts w:ascii="Times New Roman" w:hAnsi="Times New Roman"/>
          <w:sz w:val="28"/>
          <w:szCs w:val="28"/>
          <w:lang w:val="uk-UA"/>
        </w:rPr>
        <w:t>високого рівня захисту довкілля</w:t>
      </w:r>
      <w:r w:rsidRPr="00F55221">
        <w:rPr>
          <w:rFonts w:ascii="Times New Roman" w:hAnsi="Times New Roman"/>
          <w:sz w:val="28"/>
          <w:szCs w:val="28"/>
          <w:lang w:val="uk-UA"/>
        </w:rPr>
        <w:t xml:space="preserve"> шляхом впровадження інтегрованого дозволу, визначення видів діяльності</w:t>
      </w:r>
      <w:r w:rsidR="0063297C" w:rsidRPr="00F55221">
        <w:rPr>
          <w:rFonts w:ascii="Times New Roman" w:hAnsi="Times New Roman"/>
          <w:sz w:val="28"/>
          <w:szCs w:val="28"/>
          <w:lang w:val="uk-UA"/>
        </w:rPr>
        <w:t>,</w:t>
      </w:r>
      <w:r w:rsidRPr="00F55221">
        <w:rPr>
          <w:rFonts w:ascii="Times New Roman" w:hAnsi="Times New Roman"/>
          <w:sz w:val="28"/>
          <w:szCs w:val="28"/>
          <w:lang w:val="uk-UA"/>
        </w:rPr>
        <w:t xml:space="preserve"> які вимагають інтегрованого дозволу</w:t>
      </w:r>
      <w:r w:rsidR="0063297C" w:rsidRPr="00F55221">
        <w:rPr>
          <w:rFonts w:ascii="Times New Roman" w:hAnsi="Times New Roman"/>
          <w:sz w:val="28"/>
          <w:szCs w:val="28"/>
          <w:lang w:val="uk-UA"/>
        </w:rPr>
        <w:t>,</w:t>
      </w:r>
      <w:r w:rsidRPr="00F55221">
        <w:rPr>
          <w:rFonts w:ascii="Times New Roman" w:hAnsi="Times New Roman"/>
          <w:sz w:val="28"/>
          <w:szCs w:val="28"/>
          <w:lang w:val="uk-UA"/>
        </w:rPr>
        <w:t xml:space="preserve"> вимог щодо застосування найкращих доступних технологій та методів управління, моніторингу</w:t>
      </w:r>
      <w:r w:rsidR="005122A6" w:rsidRPr="00F55221">
        <w:rPr>
          <w:rFonts w:ascii="Times New Roman" w:hAnsi="Times New Roman"/>
          <w:sz w:val="28"/>
          <w:szCs w:val="28"/>
          <w:lang w:val="uk-UA"/>
        </w:rPr>
        <w:t xml:space="preserve"> викидів</w:t>
      </w:r>
      <w:r w:rsidRPr="00F55221">
        <w:rPr>
          <w:rFonts w:ascii="Times New Roman" w:hAnsi="Times New Roman"/>
          <w:sz w:val="28"/>
          <w:szCs w:val="28"/>
          <w:lang w:val="uk-UA"/>
        </w:rPr>
        <w:t xml:space="preserve"> та контролю </w:t>
      </w:r>
      <w:r w:rsidR="00C717E3" w:rsidRPr="00F55221">
        <w:rPr>
          <w:rFonts w:ascii="Times New Roman" w:hAnsi="Times New Roman"/>
          <w:sz w:val="28"/>
          <w:szCs w:val="28"/>
          <w:lang w:val="uk-UA"/>
        </w:rPr>
        <w:t>суб’єктів господарювання, які отримали інтегрований дозвіл</w:t>
      </w:r>
      <w:r w:rsidR="0063297C" w:rsidRPr="00F55221">
        <w:rPr>
          <w:rFonts w:ascii="Times New Roman" w:hAnsi="Times New Roman"/>
          <w:sz w:val="28"/>
          <w:szCs w:val="28"/>
          <w:lang w:val="uk-UA"/>
        </w:rPr>
        <w:t>.</w:t>
      </w:r>
    </w:p>
    <w:p w:rsidR="002919EE" w:rsidRPr="00F55221" w:rsidRDefault="002919EE" w:rsidP="006D0C7D">
      <w:pPr>
        <w:pStyle w:val="StyleZakonu"/>
        <w:spacing w:after="0" w:line="360" w:lineRule="auto"/>
        <w:ind w:firstLine="851"/>
        <w:rPr>
          <w:bCs/>
          <w:sz w:val="28"/>
          <w:szCs w:val="28"/>
        </w:rPr>
      </w:pPr>
    </w:p>
    <w:p w:rsidR="002919EE" w:rsidRPr="00F55221" w:rsidRDefault="002919EE" w:rsidP="006D0C7D">
      <w:pPr>
        <w:spacing w:after="0" w:line="360" w:lineRule="auto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F552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2. Проблема, яка потребує розв’язання</w:t>
      </w:r>
    </w:p>
    <w:p w:rsidR="002919EE" w:rsidRPr="00F55221" w:rsidRDefault="002919EE" w:rsidP="006D0C7D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3" w:name="n1979"/>
      <w:bookmarkStart w:id="4" w:name="n1980"/>
      <w:bookmarkEnd w:id="3"/>
      <w:bookmarkEnd w:id="4"/>
      <w:r w:rsidRPr="00F55221">
        <w:rPr>
          <w:rFonts w:ascii="Times New Roman" w:hAnsi="Times New Roman"/>
          <w:color w:val="000000"/>
          <w:sz w:val="28"/>
          <w:szCs w:val="28"/>
          <w:lang w:val="uk-UA"/>
        </w:rPr>
        <w:t>Зменшення, запобігання та контроль викидів забру</w:t>
      </w:r>
      <w:bookmarkStart w:id="5" w:name="_GoBack"/>
      <w:bookmarkEnd w:id="5"/>
      <w:r w:rsidRPr="00F55221">
        <w:rPr>
          <w:rFonts w:ascii="Times New Roman" w:hAnsi="Times New Roman"/>
          <w:color w:val="000000"/>
          <w:sz w:val="28"/>
          <w:szCs w:val="28"/>
          <w:lang w:val="uk-UA"/>
        </w:rPr>
        <w:t xml:space="preserve">днюючих речовин в атмосферне повітря, скидів стічних вод з концентраціями забруднюючих речовин та контроль операцій у сфері управління відходами є основними завданнями </w:t>
      </w:r>
      <w:r w:rsidR="00C717E3" w:rsidRPr="00F55221">
        <w:rPr>
          <w:rFonts w:ascii="Times New Roman" w:hAnsi="Times New Roman"/>
          <w:color w:val="000000"/>
          <w:sz w:val="28"/>
          <w:szCs w:val="28"/>
          <w:lang w:val="uk-UA"/>
        </w:rPr>
        <w:t>Директиви 2010/75/ЄС Європейського Парламенту та Ради від 24 листопада 2010 року про промислові викиди (інтегроване запобігання та контроль забруднення)</w:t>
      </w:r>
      <w:r w:rsidRPr="00F55221">
        <w:rPr>
          <w:rFonts w:ascii="Times New Roman" w:hAnsi="Times New Roman"/>
          <w:color w:val="000000"/>
          <w:sz w:val="28"/>
          <w:szCs w:val="28"/>
          <w:lang w:val="uk-UA"/>
        </w:rPr>
        <w:t xml:space="preserve"> (далі - Директива 2010/75/ЄС), впровадження якої є зобов’язанням України в рамках</w:t>
      </w:r>
      <w:r w:rsidR="00143C7A" w:rsidRPr="00F5522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55221">
        <w:rPr>
          <w:rFonts w:ascii="Times New Roman" w:hAnsi="Times New Roman"/>
          <w:color w:val="000000"/>
          <w:sz w:val="28"/>
          <w:szCs w:val="28"/>
          <w:lang w:val="uk-UA"/>
        </w:rPr>
        <w:t>Угоди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сторони. На сьогодні забруднення навколишнього природного середовища на глобальному рівні спричиняє близько 16 відсотків передчасних смертей щороку, що в 15 разів перевищує кількість смертей у збройних конфліктах та війнах. Забруднення атмосферного повітря у 2016 році, за даними Інституту оцінки та вимірювання показників здоров’я (Institute for Health Metrics and Evaluation), призвело в Україні до понад 58 тис. смертей. Захворювання, викликані високим рівнем забруднення, спричиняють зменшення продуктивності праці та валового внутрішнього продукту у країнах з низьким та середнім доходом до 2 відсотків.</w:t>
      </w:r>
    </w:p>
    <w:p w:rsidR="002919EE" w:rsidRPr="00F55221" w:rsidRDefault="002919EE" w:rsidP="006D0C7D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6" w:name="n11"/>
      <w:bookmarkEnd w:id="6"/>
      <w:r w:rsidRPr="00F55221">
        <w:rPr>
          <w:rFonts w:ascii="Times New Roman" w:hAnsi="Times New Roman"/>
          <w:color w:val="000000"/>
          <w:sz w:val="28"/>
          <w:szCs w:val="28"/>
          <w:lang w:val="uk-UA"/>
        </w:rPr>
        <w:t xml:space="preserve">Існує ряд регуляторних та інституційних причин, що призводять до проблеми забруднення навколишнього природного середовища суб’єктами господарювання в Україні. Система дозволів у сфері охорони навколишнього природного середовища заснована на покомпонентному підході до регулювання впливу на навколишнє природне середовища: законодавством передбачена видача дозволів на викиди забруднюючих речовин в атмосферне повітря стаціонарними джерелами, спеціальне водокористування, здійснення операцій у сфері поводження з відходами - документів дозвільного характеру у сфері охорони навколишнього природного середовища. Такий підхід не дає змоги враховувати кумулятивний вплив, що здійснює суб’єкт </w:t>
      </w:r>
      <w:r w:rsidRPr="00F55221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господарювання на навколишнє природне середовище, частково залишаючи поза увагою питання, пов’язані з охороною ґрунтів та забрудненням підземних вод, ефективним споживанням енергії та сировини, умовами виведення з експлуатації та відновленням території промислового майданчика до безпечного екологічного стану.</w:t>
      </w:r>
    </w:p>
    <w:p w:rsidR="002919EE" w:rsidRPr="00F55221" w:rsidRDefault="002919EE" w:rsidP="006D0C7D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7" w:name="n12"/>
      <w:bookmarkEnd w:id="7"/>
      <w:r w:rsidRPr="00F55221">
        <w:rPr>
          <w:rFonts w:ascii="Times New Roman" w:hAnsi="Times New Roman"/>
          <w:color w:val="000000"/>
          <w:sz w:val="28"/>
          <w:szCs w:val="28"/>
          <w:lang w:val="uk-UA"/>
        </w:rPr>
        <w:t>У рамках імплементації положень Директиви 2010/75/ЄС обов’язковим є застосування суб’єктами господарювання найкращих доступних технологій та методів управління і досягнення встановлених відповідно до них гранично допустимих обсягів забруднення. В Україні немає розроблених нормативно-правових актів, що встановлюють перелік найкращих доступних технологій та методів управління для регулювання окремих видів діяльності, а гранично допустимі концентрації та гранично допустимі скиди забруднюючих речовин не відповідають значенням Директиви 2010/75/ЄС.</w:t>
      </w:r>
    </w:p>
    <w:p w:rsidR="002919EE" w:rsidRPr="00F55221" w:rsidRDefault="002919EE" w:rsidP="006D0C7D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8" w:name="n13"/>
      <w:bookmarkStart w:id="9" w:name="n14"/>
      <w:bookmarkEnd w:id="8"/>
      <w:bookmarkEnd w:id="9"/>
      <w:r w:rsidRPr="00F55221">
        <w:rPr>
          <w:rFonts w:ascii="Times New Roman" w:hAnsi="Times New Roman"/>
          <w:color w:val="000000"/>
          <w:sz w:val="28"/>
          <w:szCs w:val="28"/>
          <w:lang w:val="uk-UA"/>
        </w:rPr>
        <w:t>Недостатній рівень здійснення контролю з боку держави за виконанням умов документів дозвільного характеру у сфері охорони навколишнього природного середовища та недієвий механізм забезпечення дотримання виконання вимог законодавства про охорону навколишнього природного середовища не заохочують суб’єктів господарювання до збільшення інвестицій у природоохоронні заходи.</w:t>
      </w:r>
    </w:p>
    <w:p w:rsidR="002919EE" w:rsidRPr="00F55221" w:rsidRDefault="002919EE" w:rsidP="006D0C7D">
      <w:pPr>
        <w:shd w:val="clear" w:color="auto" w:fill="FFFFFF"/>
        <w:spacing w:after="0" w:line="360" w:lineRule="auto"/>
        <w:ind w:firstLine="4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10" w:name="n15"/>
      <w:bookmarkEnd w:id="10"/>
    </w:p>
    <w:p w:rsidR="002919EE" w:rsidRPr="00F55221" w:rsidRDefault="002919EE" w:rsidP="006D0C7D">
      <w:pPr>
        <w:spacing w:after="0" w:line="360" w:lineRule="auto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F552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3. Суть проекту акта</w:t>
      </w:r>
    </w:p>
    <w:p w:rsidR="007E6384" w:rsidRPr="00F55221" w:rsidRDefault="00B73B46" w:rsidP="006D0C7D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  <w:bookmarkStart w:id="11" w:name="n1981"/>
      <w:bookmarkEnd w:id="11"/>
      <w:r w:rsidRPr="00F55221">
        <w:rPr>
          <w:rFonts w:ascii="Times New Roman" w:hAnsi="Times New Roman"/>
          <w:sz w:val="28"/>
          <w:szCs w:val="28"/>
          <w:lang w:val="uk-UA"/>
        </w:rPr>
        <w:t xml:space="preserve">Проектом </w:t>
      </w:r>
      <w:r w:rsidR="00C717E3" w:rsidRPr="00F55221">
        <w:rPr>
          <w:rFonts w:ascii="Times New Roman" w:hAnsi="Times New Roman"/>
          <w:sz w:val="28"/>
          <w:szCs w:val="28"/>
          <w:lang w:val="uk-UA"/>
        </w:rPr>
        <w:t>З</w:t>
      </w:r>
      <w:r w:rsidRPr="00F55221">
        <w:rPr>
          <w:rFonts w:ascii="Times New Roman" w:hAnsi="Times New Roman"/>
          <w:sz w:val="28"/>
          <w:szCs w:val="28"/>
          <w:lang w:val="uk-UA"/>
        </w:rPr>
        <w:t xml:space="preserve">акону </w:t>
      </w:r>
      <w:r w:rsidR="007E6384" w:rsidRPr="00F55221">
        <w:rPr>
          <w:rFonts w:ascii="Times New Roman" w:hAnsi="Times New Roman"/>
          <w:sz w:val="28"/>
          <w:szCs w:val="28"/>
          <w:lang w:val="uk-UA"/>
        </w:rPr>
        <w:t>визначаються основні вимоги до інтегрованого дозволу, перелік видів діяльності, які вимагають отримання інтегрованого дозволу,</w:t>
      </w:r>
      <w:r w:rsidR="00FE156B" w:rsidRPr="00F552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6384" w:rsidRPr="00F55221">
        <w:rPr>
          <w:rFonts w:ascii="Times New Roman" w:hAnsi="Times New Roman"/>
          <w:sz w:val="28"/>
          <w:szCs w:val="28"/>
          <w:lang w:val="uk-UA"/>
        </w:rPr>
        <w:t xml:space="preserve">процедура видачі інтегрованого дозволу, підстави відмови у видачі інтегрованого дозволу, </w:t>
      </w:r>
      <w:r w:rsidR="00FE156B" w:rsidRPr="00F55221">
        <w:rPr>
          <w:rFonts w:ascii="Times New Roman" w:hAnsi="Times New Roman"/>
          <w:sz w:val="28"/>
          <w:szCs w:val="28"/>
          <w:lang w:val="uk-UA"/>
        </w:rPr>
        <w:t xml:space="preserve">підстави та порядок </w:t>
      </w:r>
      <w:r w:rsidR="007E6384" w:rsidRPr="00F55221">
        <w:rPr>
          <w:rFonts w:ascii="Times New Roman" w:hAnsi="Times New Roman"/>
          <w:sz w:val="28"/>
          <w:szCs w:val="28"/>
          <w:lang w:val="uk-UA"/>
        </w:rPr>
        <w:t>зупинення та анулювання інтегрованого дозволу</w:t>
      </w:r>
      <w:r w:rsidR="00FE156B" w:rsidRPr="00F55221">
        <w:rPr>
          <w:rFonts w:ascii="Times New Roman" w:hAnsi="Times New Roman"/>
          <w:sz w:val="28"/>
          <w:szCs w:val="28"/>
          <w:lang w:val="uk-UA"/>
        </w:rPr>
        <w:t>,</w:t>
      </w:r>
      <w:r w:rsidR="007E6384" w:rsidRPr="00F55221">
        <w:rPr>
          <w:rFonts w:ascii="Times New Roman" w:hAnsi="Times New Roman"/>
          <w:sz w:val="28"/>
          <w:szCs w:val="28"/>
          <w:lang w:val="uk-UA"/>
        </w:rPr>
        <w:t xml:space="preserve"> підстави та порядок внесення змін до інтегрованого дозволу</w:t>
      </w:r>
      <w:bookmarkStart w:id="12" w:name="n1982"/>
      <w:bookmarkEnd w:id="12"/>
      <w:r w:rsidR="007E6384" w:rsidRPr="00F55221">
        <w:rPr>
          <w:rFonts w:ascii="Times New Roman" w:hAnsi="Times New Roman"/>
          <w:sz w:val="28"/>
          <w:szCs w:val="28"/>
          <w:lang w:val="uk-UA"/>
        </w:rPr>
        <w:t>,</w:t>
      </w:r>
      <w:r w:rsidR="00FE156B" w:rsidRPr="00F55221">
        <w:rPr>
          <w:rFonts w:ascii="Times New Roman" w:hAnsi="Times New Roman"/>
          <w:sz w:val="28"/>
          <w:szCs w:val="28"/>
          <w:lang w:val="uk-UA"/>
        </w:rPr>
        <w:t xml:space="preserve"> вимоги до реєстру інтегрованих дозволів,</w:t>
      </w:r>
      <w:r w:rsidR="007E6384" w:rsidRPr="00F55221">
        <w:rPr>
          <w:rFonts w:ascii="Times New Roman" w:hAnsi="Times New Roman"/>
          <w:sz w:val="28"/>
          <w:szCs w:val="28"/>
          <w:lang w:val="uk-UA"/>
        </w:rPr>
        <w:t xml:space="preserve"> особливості моніторингу</w:t>
      </w:r>
      <w:r w:rsidR="005122A6" w:rsidRPr="00F55221">
        <w:rPr>
          <w:rFonts w:ascii="Times New Roman" w:hAnsi="Times New Roman"/>
          <w:sz w:val="28"/>
          <w:szCs w:val="28"/>
          <w:lang w:val="uk-UA"/>
        </w:rPr>
        <w:t xml:space="preserve"> викидів</w:t>
      </w:r>
      <w:r w:rsidR="007E6384" w:rsidRPr="00F55221">
        <w:rPr>
          <w:rFonts w:ascii="Times New Roman" w:hAnsi="Times New Roman"/>
          <w:sz w:val="28"/>
          <w:szCs w:val="28"/>
          <w:lang w:val="uk-UA"/>
        </w:rPr>
        <w:t xml:space="preserve"> та контролю суб’єктів господарювання, які отримали інтегрований дозвіл.</w:t>
      </w:r>
    </w:p>
    <w:p w:rsidR="00C717E3" w:rsidRPr="00F55221" w:rsidRDefault="00C717E3" w:rsidP="006D0C7D">
      <w:pPr>
        <w:spacing w:after="0" w:line="360" w:lineRule="auto"/>
        <w:ind w:firstLine="45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2919EE" w:rsidRPr="00F55221" w:rsidRDefault="002919EE" w:rsidP="006D0C7D">
      <w:pPr>
        <w:spacing w:after="0" w:line="360" w:lineRule="auto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F552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4. Вплив на бюджет</w:t>
      </w:r>
    </w:p>
    <w:p w:rsidR="00051CA2" w:rsidRPr="00F55221" w:rsidRDefault="003725E0" w:rsidP="006D0C7D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13" w:name="n1983"/>
      <w:bookmarkStart w:id="14" w:name="n1985"/>
      <w:bookmarkEnd w:id="13"/>
      <w:bookmarkEnd w:id="14"/>
      <w:r w:rsidRPr="003725E0">
        <w:rPr>
          <w:rFonts w:ascii="Times New Roman" w:hAnsi="Times New Roman"/>
          <w:color w:val="000000"/>
          <w:sz w:val="28"/>
          <w:szCs w:val="28"/>
          <w:lang w:val="uk-UA"/>
        </w:rPr>
        <w:t xml:space="preserve">Реалізація </w:t>
      </w:r>
      <w:r w:rsidR="00F03A0A">
        <w:rPr>
          <w:rFonts w:ascii="Times New Roman" w:hAnsi="Times New Roman"/>
          <w:color w:val="000000"/>
          <w:sz w:val="28"/>
          <w:szCs w:val="28"/>
          <w:lang w:val="uk-UA"/>
        </w:rPr>
        <w:t>Закону</w:t>
      </w:r>
      <w:r w:rsidRPr="003725E0">
        <w:rPr>
          <w:rFonts w:ascii="Times New Roman" w:hAnsi="Times New Roman"/>
          <w:color w:val="000000"/>
          <w:sz w:val="28"/>
          <w:szCs w:val="28"/>
          <w:lang w:val="uk-UA"/>
        </w:rPr>
        <w:t xml:space="preserve"> не потребує додаткових витрат з державного бюджету України.</w:t>
      </w:r>
    </w:p>
    <w:p w:rsidR="003725E0" w:rsidRPr="003725E0" w:rsidRDefault="003725E0" w:rsidP="00A978D1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725E0">
        <w:rPr>
          <w:rFonts w:ascii="Times New Roman" w:hAnsi="Times New Roman"/>
          <w:color w:val="000000"/>
          <w:sz w:val="28"/>
          <w:szCs w:val="28"/>
          <w:lang w:val="uk-UA"/>
        </w:rPr>
        <w:t>Проектом Закону передбачається, що розмір плати за отримання інтегрованого дозволу, становить 15 мінімальних заробітних плат. Прогнозована кількість суб’єктів господарювання, на яких поширюватиметься ця норма, становить близько 3500.</w:t>
      </w:r>
    </w:p>
    <w:p w:rsidR="00A978D1" w:rsidRPr="00F55221" w:rsidRDefault="00EE50D1" w:rsidP="00A978D1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55221">
        <w:rPr>
          <w:rFonts w:ascii="Times New Roman" w:hAnsi="Times New Roman"/>
          <w:color w:val="000000"/>
          <w:sz w:val="28"/>
          <w:szCs w:val="28"/>
          <w:lang w:val="uk-UA"/>
        </w:rPr>
        <w:t>Частиною</w:t>
      </w:r>
      <w:r w:rsidR="00051CA2" w:rsidRPr="00F5522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717E3" w:rsidRPr="00F55221">
        <w:rPr>
          <w:rFonts w:ascii="Times New Roman" w:hAnsi="Times New Roman"/>
          <w:color w:val="000000"/>
          <w:sz w:val="28"/>
          <w:szCs w:val="28"/>
          <w:lang w:val="uk-UA"/>
        </w:rPr>
        <w:t>четвертою</w:t>
      </w:r>
      <w:r w:rsidR="00051CA2" w:rsidRPr="00F55221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статті 3 проекту Закону передбачено, що порядок </w:t>
      </w:r>
      <w:r w:rsidR="00726C95" w:rsidRPr="00F55221">
        <w:rPr>
          <w:rFonts w:ascii="Times New Roman" w:hAnsi="Times New Roman"/>
          <w:color w:val="000000"/>
          <w:sz w:val="28"/>
          <w:szCs w:val="28"/>
          <w:lang w:val="uk-UA"/>
        </w:rPr>
        <w:t xml:space="preserve">ведення реєстру інтегрованих дозволів </w:t>
      </w:r>
      <w:r w:rsidR="00051CA2" w:rsidRPr="00F55221">
        <w:rPr>
          <w:rFonts w:ascii="Times New Roman" w:hAnsi="Times New Roman"/>
          <w:color w:val="000000"/>
          <w:sz w:val="28"/>
          <w:szCs w:val="28"/>
          <w:lang w:val="uk-UA"/>
        </w:rPr>
        <w:t xml:space="preserve">затверджується Кабінетом Міністрів України. Фінансово-економічне обґрунтування створення </w:t>
      </w:r>
      <w:r w:rsidR="00726C95" w:rsidRPr="00F55221">
        <w:rPr>
          <w:rFonts w:ascii="Times New Roman" w:hAnsi="Times New Roman"/>
          <w:color w:val="000000"/>
          <w:sz w:val="28"/>
          <w:szCs w:val="28"/>
          <w:lang w:val="uk-UA"/>
        </w:rPr>
        <w:t>реєстру інтегрованих дозволів</w:t>
      </w:r>
      <w:r w:rsidR="00051CA2" w:rsidRPr="00F55221">
        <w:rPr>
          <w:rFonts w:ascii="Times New Roman" w:hAnsi="Times New Roman"/>
          <w:color w:val="000000"/>
          <w:sz w:val="28"/>
          <w:szCs w:val="28"/>
          <w:lang w:val="uk-UA"/>
        </w:rPr>
        <w:t xml:space="preserve"> буде підготовлено при розробленні відповідного проекту акта Уряду.</w:t>
      </w:r>
    </w:p>
    <w:p w:rsidR="00A978D1" w:rsidRPr="00F55221" w:rsidRDefault="00A978D1" w:rsidP="00A978D1">
      <w:pPr>
        <w:pStyle w:val="rvps2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 w:eastAsia="en-US"/>
        </w:rPr>
      </w:pPr>
    </w:p>
    <w:p w:rsidR="00F03A0A" w:rsidRPr="00F55221" w:rsidRDefault="00F03A0A" w:rsidP="00F03A0A">
      <w:pPr>
        <w:spacing w:after="0" w:line="360" w:lineRule="auto"/>
        <w:ind w:firstLine="45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bookmarkStart w:id="15" w:name="n36"/>
      <w:bookmarkEnd w:id="15"/>
      <w:r w:rsidRPr="00F552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lastRenderedPageBreak/>
        <w:t>5. Позиція заінтересованих сторін</w:t>
      </w:r>
    </w:p>
    <w:p w:rsidR="00C15E0D" w:rsidRDefault="00C15E0D" w:rsidP="00C15E0D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 Закону не стосується питань функціонування місцевого самоврядування, прав та інтересів територіальних громад, соціально-трудової сфери, прав осіб з інвалідністю, сфери наукової та науково-технічної діяльності.</w:t>
      </w:r>
    </w:p>
    <w:p w:rsidR="00C15E0D" w:rsidRDefault="00F03A0A" w:rsidP="00C15E0D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F03A0A">
        <w:rPr>
          <w:rFonts w:ascii="Times New Roman" w:hAnsi="Times New Roman"/>
          <w:sz w:val="28"/>
          <w:szCs w:val="28"/>
          <w:lang w:val="uk-UA"/>
        </w:rPr>
        <w:t xml:space="preserve">Проект </w:t>
      </w:r>
      <w:r>
        <w:rPr>
          <w:rFonts w:ascii="Times New Roman" w:hAnsi="Times New Roman"/>
          <w:sz w:val="28"/>
          <w:szCs w:val="28"/>
          <w:lang w:val="uk-UA"/>
        </w:rPr>
        <w:t>Закону</w:t>
      </w:r>
      <w:r w:rsidRPr="00F03A0A">
        <w:rPr>
          <w:rFonts w:ascii="Times New Roman" w:hAnsi="Times New Roman"/>
          <w:sz w:val="28"/>
          <w:szCs w:val="28"/>
          <w:lang w:val="uk-UA"/>
        </w:rPr>
        <w:t xml:space="preserve"> потребує проведення консультацій з громадськістю.</w:t>
      </w:r>
    </w:p>
    <w:p w:rsidR="00F03A0A" w:rsidRDefault="00F03A0A" w:rsidP="00C15E0D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Прогноз впливу реалізації Закону </w:t>
      </w:r>
      <w:r w:rsidR="00C15E0D">
        <w:rPr>
          <w:rFonts w:ascii="Times New Roman" w:hAnsi="Times New Roman"/>
          <w:sz w:val="28"/>
          <w:szCs w:val="28"/>
          <w:lang w:val="uk-UA"/>
        </w:rPr>
        <w:t>на ключові інтереси заінтересованих сторін додається.</w:t>
      </w:r>
    </w:p>
    <w:p w:rsidR="002D0DA9" w:rsidRPr="00F55221" w:rsidRDefault="002D0DA9" w:rsidP="002D0DA9">
      <w:pPr>
        <w:spacing w:after="0" w:line="360" w:lineRule="auto"/>
        <w:ind w:firstLine="45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2919EE" w:rsidRPr="00F55221" w:rsidRDefault="002D0DA9" w:rsidP="006D0C7D">
      <w:pPr>
        <w:spacing w:after="0" w:line="360" w:lineRule="auto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  <w:r w:rsidRPr="00F552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6</w:t>
      </w:r>
      <w:r w:rsidR="002919EE" w:rsidRPr="00F552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. Прогноз впливу</w:t>
      </w:r>
    </w:p>
    <w:p w:rsidR="00146DD3" w:rsidRDefault="00E6779C" w:rsidP="00E6779C">
      <w:pPr>
        <w:pStyle w:val="a3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bookmarkStart w:id="16" w:name="n1991"/>
      <w:bookmarkStart w:id="17" w:name="n1992"/>
      <w:bookmarkStart w:id="18" w:name="n1994"/>
      <w:bookmarkStart w:id="19" w:name="n1997"/>
      <w:bookmarkEnd w:id="16"/>
      <w:bookmarkEnd w:id="17"/>
      <w:bookmarkEnd w:id="18"/>
      <w:bookmarkEnd w:id="19"/>
      <w:r>
        <w:rPr>
          <w:rFonts w:ascii="Times New Roman" w:hAnsi="Times New Roman"/>
          <w:sz w:val="28"/>
          <w:szCs w:val="28"/>
          <w:lang w:val="uk-UA"/>
        </w:rPr>
        <w:t>Реалізація Закону матиме позитивний вплив на ринкове середовище, забезпечення захисту прав та інтересів суб’єктів господарювання, громадян і держави, розвиток регіонів, громадське здоров’я та довкілля.</w:t>
      </w:r>
    </w:p>
    <w:p w:rsidR="00E6779C" w:rsidRPr="00F55221" w:rsidRDefault="00E6779C" w:rsidP="00E6779C">
      <w:pPr>
        <w:pStyle w:val="a3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Це, зокрема, зумовлено </w:t>
      </w:r>
      <w:r w:rsidRPr="00F55221">
        <w:rPr>
          <w:rFonts w:ascii="Times New Roman" w:hAnsi="Times New Roman"/>
          <w:sz w:val="28"/>
          <w:szCs w:val="28"/>
          <w:lang w:val="uk-UA"/>
        </w:rPr>
        <w:t>встановлення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F55221">
        <w:rPr>
          <w:rFonts w:ascii="Times New Roman" w:hAnsi="Times New Roman"/>
          <w:sz w:val="28"/>
          <w:szCs w:val="28"/>
          <w:lang w:val="uk-UA"/>
        </w:rPr>
        <w:t xml:space="preserve"> чітких процедур та прозорих віднос</w:t>
      </w:r>
      <w:r w:rsidR="003725E0">
        <w:rPr>
          <w:rFonts w:ascii="Times New Roman" w:hAnsi="Times New Roman"/>
          <w:sz w:val="28"/>
          <w:szCs w:val="28"/>
          <w:lang w:val="uk-UA"/>
        </w:rPr>
        <w:t xml:space="preserve">ин для суб’єктів господарювання, державних органів та громадськості </w:t>
      </w:r>
      <w:r w:rsidRPr="00F55221">
        <w:rPr>
          <w:rFonts w:ascii="Times New Roman" w:hAnsi="Times New Roman"/>
          <w:sz w:val="28"/>
          <w:szCs w:val="28"/>
          <w:lang w:val="uk-UA"/>
        </w:rPr>
        <w:t xml:space="preserve">у сфері </w:t>
      </w:r>
      <w:r w:rsidR="003725E0">
        <w:rPr>
          <w:rFonts w:ascii="Times New Roman" w:hAnsi="Times New Roman"/>
          <w:sz w:val="28"/>
          <w:szCs w:val="28"/>
          <w:lang w:val="uk-UA"/>
        </w:rPr>
        <w:t>видачі</w:t>
      </w:r>
      <w:r w:rsidRPr="00F55221">
        <w:rPr>
          <w:rFonts w:ascii="Times New Roman" w:hAnsi="Times New Roman"/>
          <w:sz w:val="28"/>
          <w:szCs w:val="28"/>
          <w:lang w:val="uk-UA"/>
        </w:rPr>
        <w:t xml:space="preserve"> інтегрованого дозволу та впровадження найкращих доступних технологій та методів управління; реалізаці</w:t>
      </w:r>
      <w:r w:rsidR="003725E0">
        <w:rPr>
          <w:rFonts w:ascii="Times New Roman" w:hAnsi="Times New Roman"/>
          <w:sz w:val="28"/>
          <w:szCs w:val="28"/>
          <w:lang w:val="uk-UA"/>
        </w:rPr>
        <w:t>єю</w:t>
      </w:r>
      <w:r w:rsidRPr="00F55221">
        <w:rPr>
          <w:rFonts w:ascii="Times New Roman" w:hAnsi="Times New Roman"/>
          <w:sz w:val="28"/>
          <w:szCs w:val="28"/>
          <w:lang w:val="uk-UA"/>
        </w:rPr>
        <w:t xml:space="preserve"> вимог державної політики у сфері управління</w:t>
      </w:r>
      <w:r w:rsidR="003725E0">
        <w:rPr>
          <w:rFonts w:ascii="Times New Roman" w:hAnsi="Times New Roman"/>
          <w:sz w:val="28"/>
          <w:szCs w:val="28"/>
          <w:lang w:val="uk-UA"/>
        </w:rPr>
        <w:t>,</w:t>
      </w:r>
      <w:r w:rsidRPr="00F55221">
        <w:rPr>
          <w:rFonts w:ascii="Times New Roman" w:hAnsi="Times New Roman"/>
          <w:sz w:val="28"/>
          <w:szCs w:val="28"/>
          <w:lang w:val="uk-UA"/>
        </w:rPr>
        <w:t xml:space="preserve"> запобігання, зменшення та контролю промислового забруднення</w:t>
      </w:r>
      <w:r w:rsidR="003725E0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F55221">
        <w:rPr>
          <w:rFonts w:ascii="Times New Roman" w:hAnsi="Times New Roman"/>
          <w:sz w:val="28"/>
          <w:szCs w:val="28"/>
          <w:lang w:val="uk-UA"/>
        </w:rPr>
        <w:t xml:space="preserve"> виконання</w:t>
      </w:r>
      <w:r w:rsidR="003725E0">
        <w:rPr>
          <w:rFonts w:ascii="Times New Roman" w:hAnsi="Times New Roman"/>
          <w:sz w:val="28"/>
          <w:szCs w:val="28"/>
          <w:lang w:val="uk-UA"/>
        </w:rPr>
        <w:t>м</w:t>
      </w:r>
      <w:r w:rsidRPr="00F55221">
        <w:rPr>
          <w:rFonts w:ascii="Times New Roman" w:hAnsi="Times New Roman"/>
          <w:sz w:val="28"/>
          <w:szCs w:val="28"/>
          <w:lang w:val="uk-UA"/>
        </w:rPr>
        <w:t xml:space="preserve"> зобов’язань</w:t>
      </w:r>
      <w:r w:rsidR="003725E0">
        <w:rPr>
          <w:rFonts w:ascii="Times New Roman" w:hAnsi="Times New Roman"/>
          <w:sz w:val="28"/>
          <w:szCs w:val="28"/>
          <w:lang w:val="uk-UA"/>
        </w:rPr>
        <w:t xml:space="preserve"> в рамках </w:t>
      </w:r>
      <w:r w:rsidRPr="00F55221">
        <w:rPr>
          <w:rFonts w:ascii="Times New Roman" w:hAnsi="Times New Roman"/>
          <w:sz w:val="28"/>
          <w:szCs w:val="28"/>
          <w:lang w:val="uk-UA"/>
        </w:rPr>
        <w:t xml:space="preserve">Угоди про асоціацію </w:t>
      </w:r>
      <w:r w:rsidR="003725E0">
        <w:rPr>
          <w:rFonts w:ascii="Times New Roman" w:hAnsi="Times New Roman"/>
          <w:sz w:val="28"/>
          <w:szCs w:val="28"/>
          <w:lang w:val="uk-UA"/>
        </w:rPr>
        <w:t xml:space="preserve">між </w:t>
      </w:r>
      <w:r w:rsidRPr="00F55221">
        <w:rPr>
          <w:rFonts w:ascii="Times New Roman" w:hAnsi="Times New Roman"/>
          <w:sz w:val="28"/>
          <w:szCs w:val="28"/>
          <w:lang w:val="uk-UA"/>
        </w:rPr>
        <w:t>Україн</w:t>
      </w:r>
      <w:r w:rsidR="003725E0">
        <w:rPr>
          <w:rFonts w:ascii="Times New Roman" w:hAnsi="Times New Roman"/>
          <w:sz w:val="28"/>
          <w:szCs w:val="28"/>
          <w:lang w:val="uk-UA"/>
        </w:rPr>
        <w:t xml:space="preserve">ою та </w:t>
      </w:r>
      <w:r w:rsidRPr="00F55221">
        <w:rPr>
          <w:rFonts w:ascii="Times New Roman" w:hAnsi="Times New Roman"/>
          <w:sz w:val="28"/>
          <w:szCs w:val="28"/>
          <w:lang w:val="uk-UA"/>
        </w:rPr>
        <w:t>ЄС</w:t>
      </w:r>
      <w:r w:rsidR="003725E0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3725E0" w:rsidRPr="00F55221">
        <w:rPr>
          <w:rFonts w:ascii="Times New Roman" w:hAnsi="Times New Roman"/>
          <w:sz w:val="28"/>
          <w:szCs w:val="28"/>
          <w:lang w:val="uk-UA"/>
        </w:rPr>
        <w:t>покращення</w:t>
      </w:r>
      <w:r w:rsidR="003725E0">
        <w:rPr>
          <w:rFonts w:ascii="Times New Roman" w:hAnsi="Times New Roman"/>
          <w:sz w:val="28"/>
          <w:szCs w:val="28"/>
          <w:lang w:val="uk-UA"/>
        </w:rPr>
        <w:t>м</w:t>
      </w:r>
      <w:r w:rsidR="003725E0" w:rsidRPr="00F55221">
        <w:rPr>
          <w:rFonts w:ascii="Times New Roman" w:hAnsi="Times New Roman"/>
          <w:sz w:val="28"/>
          <w:szCs w:val="28"/>
          <w:lang w:val="uk-UA"/>
        </w:rPr>
        <w:t xml:space="preserve"> рівня екологічної безпеки регіонів за рахунок впровадження комплексного підходу до запобігання, зменшення та контролю промислового забруднення та впровадження найкращих доступних технологій та методів управління;</w:t>
      </w:r>
      <w:r w:rsidR="003725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25E0" w:rsidRPr="00F55221">
        <w:rPr>
          <w:rFonts w:ascii="Times New Roman" w:hAnsi="Times New Roman"/>
          <w:sz w:val="28"/>
          <w:szCs w:val="28"/>
          <w:lang w:val="uk-UA"/>
        </w:rPr>
        <w:t>створення</w:t>
      </w:r>
      <w:r w:rsidR="003725E0">
        <w:rPr>
          <w:rFonts w:ascii="Times New Roman" w:hAnsi="Times New Roman"/>
          <w:sz w:val="28"/>
          <w:szCs w:val="28"/>
          <w:lang w:val="uk-UA"/>
        </w:rPr>
        <w:t>м</w:t>
      </w:r>
      <w:r w:rsidR="003725E0" w:rsidRPr="00F55221">
        <w:rPr>
          <w:rFonts w:ascii="Times New Roman" w:hAnsi="Times New Roman"/>
          <w:sz w:val="28"/>
          <w:szCs w:val="28"/>
          <w:lang w:val="uk-UA"/>
        </w:rPr>
        <w:t xml:space="preserve"> передумов </w:t>
      </w:r>
      <w:r w:rsidR="003725E0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3725E0" w:rsidRPr="00F55221">
        <w:rPr>
          <w:rFonts w:ascii="Times New Roman" w:hAnsi="Times New Roman"/>
          <w:sz w:val="28"/>
          <w:szCs w:val="28"/>
          <w:lang w:val="uk-UA"/>
        </w:rPr>
        <w:t>покращення стану</w:t>
      </w:r>
      <w:r w:rsidR="003725E0">
        <w:rPr>
          <w:rFonts w:ascii="Times New Roman" w:hAnsi="Times New Roman"/>
          <w:sz w:val="28"/>
          <w:szCs w:val="28"/>
          <w:lang w:val="uk-UA"/>
        </w:rPr>
        <w:t>,</w:t>
      </w:r>
      <w:r w:rsidR="003725E0" w:rsidRPr="00F55221">
        <w:rPr>
          <w:rFonts w:ascii="Times New Roman" w:hAnsi="Times New Roman"/>
          <w:sz w:val="28"/>
          <w:szCs w:val="28"/>
          <w:lang w:val="uk-UA"/>
        </w:rPr>
        <w:t xml:space="preserve"> подальш</w:t>
      </w:r>
      <w:r w:rsidR="003725E0">
        <w:rPr>
          <w:rFonts w:ascii="Times New Roman" w:hAnsi="Times New Roman"/>
          <w:sz w:val="28"/>
          <w:szCs w:val="28"/>
          <w:lang w:val="uk-UA"/>
        </w:rPr>
        <w:t>ого</w:t>
      </w:r>
      <w:r w:rsidR="003725E0" w:rsidRPr="00F55221">
        <w:rPr>
          <w:rFonts w:ascii="Times New Roman" w:hAnsi="Times New Roman"/>
          <w:sz w:val="28"/>
          <w:szCs w:val="28"/>
          <w:lang w:val="uk-UA"/>
        </w:rPr>
        <w:t xml:space="preserve"> зміцнення та збереження здоров’я населення</w:t>
      </w:r>
      <w:r w:rsidR="003725E0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3725E0" w:rsidRPr="00F55221">
        <w:rPr>
          <w:rFonts w:ascii="Times New Roman" w:hAnsi="Times New Roman"/>
          <w:sz w:val="28"/>
          <w:szCs w:val="28"/>
          <w:lang w:val="uk-UA"/>
        </w:rPr>
        <w:t xml:space="preserve">підвищення рівня екологічної безпеки, запобігання та зменшення рівня промислового забруднення за рахунок комплексного розгляду впливу </w:t>
      </w:r>
      <w:r w:rsidR="003725E0">
        <w:rPr>
          <w:rFonts w:ascii="Times New Roman" w:hAnsi="Times New Roman"/>
          <w:sz w:val="28"/>
          <w:szCs w:val="28"/>
          <w:lang w:val="uk-UA"/>
        </w:rPr>
        <w:t>господарської діяльності</w:t>
      </w:r>
      <w:r w:rsidR="003725E0" w:rsidRPr="00F55221">
        <w:rPr>
          <w:rFonts w:ascii="Times New Roman" w:hAnsi="Times New Roman"/>
          <w:sz w:val="28"/>
          <w:szCs w:val="28"/>
          <w:lang w:val="uk-UA"/>
        </w:rPr>
        <w:t xml:space="preserve"> на всі компоненти навколишнього природного середовища, встановлення вимог щодо застосування найкращих доступних технологій та методів управління, моніторингу та контролю промислової діяльності</w:t>
      </w:r>
      <w:r w:rsidR="003725E0">
        <w:rPr>
          <w:rFonts w:ascii="Times New Roman" w:hAnsi="Times New Roman"/>
          <w:sz w:val="28"/>
          <w:szCs w:val="28"/>
          <w:lang w:val="uk-UA"/>
        </w:rPr>
        <w:t>.</w:t>
      </w:r>
    </w:p>
    <w:p w:rsidR="00E6779C" w:rsidRPr="00F55221" w:rsidRDefault="00E6779C" w:rsidP="00E6779C">
      <w:pPr>
        <w:tabs>
          <w:tab w:val="left" w:pos="851"/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6779C">
        <w:rPr>
          <w:rFonts w:ascii="Times New Roman" w:hAnsi="Times New Roman"/>
          <w:sz w:val="28"/>
          <w:szCs w:val="28"/>
          <w:lang w:val="uk-UA"/>
        </w:rPr>
        <w:t>Проект акта не стосується соціально-трудової сфери та не матиме впливу на ринок праці.</w:t>
      </w:r>
    </w:p>
    <w:p w:rsidR="00146DD3" w:rsidRPr="00F55221" w:rsidRDefault="00146DD3" w:rsidP="00E6779C">
      <w:pPr>
        <w:tabs>
          <w:tab w:val="left" w:pos="851"/>
          <w:tab w:val="left" w:pos="1134"/>
        </w:tabs>
        <w:spacing w:after="0" w:line="36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0C7D" w:rsidRPr="00F55221" w:rsidRDefault="00A978D1" w:rsidP="00B12045">
      <w:pPr>
        <w:spacing w:after="0" w:line="240" w:lineRule="auto"/>
        <w:ind w:firstLine="44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552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7</w:t>
      </w:r>
      <w:r w:rsidR="006D0C7D" w:rsidRPr="00F552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. Позиція заінтересованих органів</w:t>
      </w:r>
    </w:p>
    <w:p w:rsidR="006D0C7D" w:rsidRPr="00F55221" w:rsidRDefault="006D0C7D" w:rsidP="00B12045">
      <w:pPr>
        <w:spacing w:after="0" w:line="240" w:lineRule="auto"/>
        <w:ind w:firstLine="44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55221">
        <w:rPr>
          <w:rFonts w:ascii="Times New Roman" w:hAnsi="Times New Roman"/>
          <w:color w:val="000000"/>
          <w:sz w:val="28"/>
          <w:szCs w:val="28"/>
          <w:lang w:val="uk-UA" w:eastAsia="uk-UA"/>
        </w:rPr>
        <w:t>Проек</w:t>
      </w:r>
      <w:r w:rsidR="002E3BB4">
        <w:rPr>
          <w:rFonts w:ascii="Times New Roman" w:hAnsi="Times New Roman"/>
          <w:color w:val="000000"/>
          <w:sz w:val="28"/>
          <w:szCs w:val="28"/>
          <w:lang w:val="uk-UA" w:eastAsia="uk-UA"/>
        </w:rPr>
        <w:t>т Закону погоджен</w:t>
      </w:r>
      <w:r w:rsidR="00D311A9">
        <w:rPr>
          <w:rFonts w:ascii="Times New Roman" w:hAnsi="Times New Roman"/>
          <w:color w:val="000000"/>
          <w:sz w:val="28"/>
          <w:szCs w:val="28"/>
          <w:lang w:val="uk-UA" w:eastAsia="uk-UA"/>
        </w:rPr>
        <w:t>о</w:t>
      </w:r>
      <w:r w:rsidR="002E3BB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 Міністерством розвитку економіки, торгівлі та сільського господарства України,</w:t>
      </w:r>
      <w:r w:rsidRPr="00F5522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Міністерством фінансів України</w:t>
      </w:r>
      <w:r w:rsidR="005D450A">
        <w:rPr>
          <w:rFonts w:ascii="Times New Roman" w:hAnsi="Times New Roman"/>
          <w:color w:val="000000"/>
          <w:sz w:val="28"/>
          <w:szCs w:val="28"/>
          <w:lang w:val="uk-UA" w:eastAsia="uk-UA"/>
        </w:rPr>
        <w:t>, Міністерством юстиції України, Міністерством охорони здоров’я України, Державною службою України з надзвичайних ситуацій.</w:t>
      </w:r>
    </w:p>
    <w:p w:rsidR="006D0C7D" w:rsidRPr="00F55221" w:rsidRDefault="006D0C7D" w:rsidP="00B12045">
      <w:pPr>
        <w:spacing w:after="0" w:line="240" w:lineRule="auto"/>
        <w:ind w:firstLine="448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F55221" w:rsidRDefault="00F55221" w:rsidP="00B12045">
      <w:pPr>
        <w:spacing w:after="0" w:line="240" w:lineRule="auto"/>
        <w:ind w:firstLine="448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8. Ризики та обмеження</w:t>
      </w:r>
    </w:p>
    <w:p w:rsidR="00F55221" w:rsidRPr="00C15E0D" w:rsidRDefault="00C15E0D" w:rsidP="00B12045">
      <w:pPr>
        <w:spacing w:after="0" w:line="240" w:lineRule="auto"/>
        <w:ind w:firstLine="44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У </w:t>
      </w:r>
      <w:r w:rsidRPr="00C15E0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проекті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Закону</w:t>
      </w:r>
      <w:r w:rsidRPr="00C15E0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відсутні положення, які містять ознаки дискримінації.</w:t>
      </w:r>
    </w:p>
    <w:p w:rsidR="00C15E0D" w:rsidRPr="00C15E0D" w:rsidRDefault="00C15E0D" w:rsidP="00C15E0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C15E0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У проекті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Закону</w:t>
      </w:r>
      <w:r w:rsidRPr="00C15E0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відсутні положення, які порушують принцип забезпечення рівних прав та можливостей жінок і чоловіків.</w:t>
      </w:r>
    </w:p>
    <w:p w:rsidR="00C15E0D" w:rsidRPr="00C15E0D" w:rsidRDefault="00C15E0D" w:rsidP="00C15E0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C15E0D">
        <w:rPr>
          <w:rFonts w:ascii="Times New Roman" w:hAnsi="Times New Roman"/>
          <w:color w:val="000000"/>
          <w:sz w:val="28"/>
          <w:szCs w:val="28"/>
          <w:lang w:val="uk-UA" w:eastAsia="uk-UA"/>
        </w:rPr>
        <w:lastRenderedPageBreak/>
        <w:t xml:space="preserve">У проекті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Закону</w:t>
      </w:r>
      <w:r w:rsidRPr="00C15E0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відсутні процедури, які можуть містити ризики вчинення корупційних правопорушень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правопорушень, пов’язаних з корупцією</w:t>
      </w:r>
      <w:r w:rsidRPr="00C15E0D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F55221" w:rsidRPr="00F55221" w:rsidRDefault="00F55221" w:rsidP="006D0C7D">
      <w:pPr>
        <w:spacing w:after="0" w:line="360" w:lineRule="auto"/>
        <w:ind w:firstLine="45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2919EE" w:rsidRPr="00F55221" w:rsidRDefault="00F55221" w:rsidP="006D0C7D">
      <w:pPr>
        <w:spacing w:after="0" w:line="360" w:lineRule="auto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9</w:t>
      </w:r>
      <w:r w:rsidR="002919EE" w:rsidRPr="00F552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. Підстава розроблення проекту акта</w:t>
      </w:r>
    </w:p>
    <w:p w:rsidR="00726C95" w:rsidRPr="00F55221" w:rsidRDefault="00726C95" w:rsidP="006D0C7D">
      <w:pPr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  <w:bookmarkStart w:id="20" w:name="n1998"/>
      <w:bookmarkEnd w:id="20"/>
      <w:r w:rsidRPr="00F55221">
        <w:rPr>
          <w:rFonts w:ascii="Times New Roman" w:hAnsi="Times New Roman"/>
          <w:sz w:val="28"/>
          <w:szCs w:val="28"/>
          <w:lang w:val="uk-UA"/>
        </w:rPr>
        <w:t xml:space="preserve">Законопроект розроблено на виконання Концепції реалізації державної політики у сфері промислового забруднення, схваленої </w:t>
      </w:r>
      <w:r w:rsidR="00717037">
        <w:rPr>
          <w:rFonts w:ascii="Times New Roman" w:hAnsi="Times New Roman"/>
          <w:sz w:val="28"/>
          <w:szCs w:val="28"/>
          <w:lang w:val="uk-UA"/>
        </w:rPr>
        <w:t>р</w:t>
      </w:r>
      <w:r w:rsidRPr="00F55221">
        <w:rPr>
          <w:rFonts w:ascii="Times New Roman" w:hAnsi="Times New Roman"/>
          <w:sz w:val="28"/>
          <w:szCs w:val="28"/>
          <w:lang w:val="uk-UA"/>
        </w:rPr>
        <w:t>озпорядження</w:t>
      </w:r>
      <w:r w:rsidR="00717037">
        <w:rPr>
          <w:rFonts w:ascii="Times New Roman" w:hAnsi="Times New Roman"/>
          <w:sz w:val="28"/>
          <w:szCs w:val="28"/>
          <w:lang w:val="uk-UA"/>
        </w:rPr>
        <w:t>м</w:t>
      </w:r>
      <w:r w:rsidRPr="00F55221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 від 22 травня 2019 р. № 402-р.</w:t>
      </w:r>
    </w:p>
    <w:p w:rsidR="006D0C7D" w:rsidRPr="00F55221" w:rsidRDefault="006D0C7D" w:rsidP="006D0C7D">
      <w:pPr>
        <w:spacing w:after="0" w:line="360" w:lineRule="auto"/>
        <w:ind w:firstLine="4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0C7D" w:rsidRPr="00F55221" w:rsidRDefault="006D0C7D" w:rsidP="006D0C7D">
      <w:pPr>
        <w:spacing w:after="0" w:line="360" w:lineRule="auto"/>
        <w:jc w:val="both"/>
        <w:rPr>
          <w:sz w:val="28"/>
          <w:szCs w:val="28"/>
          <w:lang w:val="uk-UA"/>
        </w:rPr>
      </w:pPr>
    </w:p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98"/>
        <w:gridCol w:w="6088"/>
      </w:tblGrid>
      <w:tr w:rsidR="006D0C7D" w:rsidRPr="00F55221" w:rsidTr="00085642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6D0C7D" w:rsidRPr="00F55221" w:rsidRDefault="006D0C7D" w:rsidP="00913BF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5522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Міністр енергетики та захисту довкілля України</w:t>
            </w:r>
          </w:p>
        </w:tc>
        <w:tc>
          <w:tcPr>
            <w:tcW w:w="6088" w:type="dxa"/>
            <w:tcBorders>
              <w:top w:val="nil"/>
              <w:left w:val="nil"/>
              <w:bottom w:val="nil"/>
              <w:right w:val="nil"/>
            </w:tcBorders>
          </w:tcPr>
          <w:p w:rsidR="006D0C7D" w:rsidRPr="00F55221" w:rsidRDefault="006D0C7D" w:rsidP="00913BFB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C7D" w:rsidRPr="00F55221" w:rsidRDefault="006D0C7D" w:rsidP="00913BF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5522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</w:t>
            </w:r>
            <w:r w:rsidRPr="00F55221">
              <w:rPr>
                <w:rFonts w:ascii="Times New Roman" w:eastAsia="Arial Unicode MS" w:hAnsi="Times New Roman"/>
                <w:b/>
                <w:bCs/>
                <w:color w:val="000000"/>
                <w:sz w:val="28"/>
                <w:szCs w:val="28"/>
                <w:lang w:val="uk-UA"/>
              </w:rPr>
              <w:t>Олексій ОРЖЕЛЬ</w:t>
            </w:r>
          </w:p>
        </w:tc>
      </w:tr>
    </w:tbl>
    <w:p w:rsidR="006D0C7D" w:rsidRPr="00F55221" w:rsidRDefault="006D0C7D" w:rsidP="0091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0C7D" w:rsidRPr="00F55221" w:rsidRDefault="00F12726" w:rsidP="00515C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 ____________  2020</w:t>
      </w:r>
      <w:r w:rsidR="006D0C7D" w:rsidRPr="00F55221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sectPr w:rsidR="006D0C7D" w:rsidRPr="00F55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A39" w:rsidRDefault="005C6A39" w:rsidP="009A7E2F">
      <w:pPr>
        <w:spacing w:after="0" w:line="240" w:lineRule="auto"/>
      </w:pPr>
      <w:r>
        <w:separator/>
      </w:r>
    </w:p>
  </w:endnote>
  <w:endnote w:type="continuationSeparator" w:id="0">
    <w:p w:rsidR="005C6A39" w:rsidRDefault="005C6A39" w:rsidP="009A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Segoe U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A39" w:rsidRDefault="005C6A39" w:rsidP="009A7E2F">
      <w:pPr>
        <w:spacing w:after="0" w:line="240" w:lineRule="auto"/>
      </w:pPr>
      <w:r>
        <w:separator/>
      </w:r>
    </w:p>
  </w:footnote>
  <w:footnote w:type="continuationSeparator" w:id="0">
    <w:p w:rsidR="005C6A39" w:rsidRDefault="005C6A39" w:rsidP="009A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4187"/>
    <w:multiLevelType w:val="hybridMultilevel"/>
    <w:tmpl w:val="18AE1EBE"/>
    <w:lvl w:ilvl="0" w:tplc="FF7AA50A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4F528E2"/>
    <w:multiLevelType w:val="hybridMultilevel"/>
    <w:tmpl w:val="4E06AAD2"/>
    <w:lvl w:ilvl="0" w:tplc="F7EE2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66C2551"/>
    <w:multiLevelType w:val="hybridMultilevel"/>
    <w:tmpl w:val="628622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6F177DF"/>
    <w:multiLevelType w:val="hybridMultilevel"/>
    <w:tmpl w:val="B6C8CF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DDE054B"/>
    <w:multiLevelType w:val="hybridMultilevel"/>
    <w:tmpl w:val="C36463C2"/>
    <w:lvl w:ilvl="0" w:tplc="6E8453B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0EF"/>
    <w:rsid w:val="000017D5"/>
    <w:rsid w:val="00037673"/>
    <w:rsid w:val="00051CA2"/>
    <w:rsid w:val="00062BEB"/>
    <w:rsid w:val="00080BFB"/>
    <w:rsid w:val="00085642"/>
    <w:rsid w:val="00092BB2"/>
    <w:rsid w:val="00097EF1"/>
    <w:rsid w:val="001006A1"/>
    <w:rsid w:val="001319B9"/>
    <w:rsid w:val="00143C7A"/>
    <w:rsid w:val="001440AD"/>
    <w:rsid w:val="00146DD3"/>
    <w:rsid w:val="00150BDE"/>
    <w:rsid w:val="00235F84"/>
    <w:rsid w:val="002539EE"/>
    <w:rsid w:val="00257B8D"/>
    <w:rsid w:val="00287DA7"/>
    <w:rsid w:val="002919EE"/>
    <w:rsid w:val="002A6A07"/>
    <w:rsid w:val="002D0DA9"/>
    <w:rsid w:val="002E3BB4"/>
    <w:rsid w:val="00300290"/>
    <w:rsid w:val="003725E0"/>
    <w:rsid w:val="00457DE5"/>
    <w:rsid w:val="004601C0"/>
    <w:rsid w:val="00477121"/>
    <w:rsid w:val="004832B5"/>
    <w:rsid w:val="004D61DC"/>
    <w:rsid w:val="004D6D1C"/>
    <w:rsid w:val="005122A6"/>
    <w:rsid w:val="00515CE2"/>
    <w:rsid w:val="005334F0"/>
    <w:rsid w:val="005539FC"/>
    <w:rsid w:val="00554711"/>
    <w:rsid w:val="00563E89"/>
    <w:rsid w:val="005C4BBF"/>
    <w:rsid w:val="005C6A39"/>
    <w:rsid w:val="005D450A"/>
    <w:rsid w:val="005E03CC"/>
    <w:rsid w:val="00610571"/>
    <w:rsid w:val="00622AFC"/>
    <w:rsid w:val="006322B6"/>
    <w:rsid w:val="0063297C"/>
    <w:rsid w:val="00633C8E"/>
    <w:rsid w:val="006505F2"/>
    <w:rsid w:val="0065456E"/>
    <w:rsid w:val="00656AB3"/>
    <w:rsid w:val="0066485E"/>
    <w:rsid w:val="006D0C7D"/>
    <w:rsid w:val="00717037"/>
    <w:rsid w:val="00726C95"/>
    <w:rsid w:val="00762ADD"/>
    <w:rsid w:val="007A7F2B"/>
    <w:rsid w:val="007B51F5"/>
    <w:rsid w:val="007B53CD"/>
    <w:rsid w:val="007C6F0B"/>
    <w:rsid w:val="007E6384"/>
    <w:rsid w:val="00830FDF"/>
    <w:rsid w:val="00913BFB"/>
    <w:rsid w:val="00932ED9"/>
    <w:rsid w:val="009677E5"/>
    <w:rsid w:val="009A5D25"/>
    <w:rsid w:val="009A7E2F"/>
    <w:rsid w:val="009D5DE2"/>
    <w:rsid w:val="009F14C6"/>
    <w:rsid w:val="00A07834"/>
    <w:rsid w:val="00A26D61"/>
    <w:rsid w:val="00A337EB"/>
    <w:rsid w:val="00A37012"/>
    <w:rsid w:val="00A42DD4"/>
    <w:rsid w:val="00A978D1"/>
    <w:rsid w:val="00B01329"/>
    <w:rsid w:val="00B12045"/>
    <w:rsid w:val="00B73B46"/>
    <w:rsid w:val="00B82ECC"/>
    <w:rsid w:val="00BB4539"/>
    <w:rsid w:val="00BC60EF"/>
    <w:rsid w:val="00C15A60"/>
    <w:rsid w:val="00C15E0D"/>
    <w:rsid w:val="00C57E00"/>
    <w:rsid w:val="00C717E3"/>
    <w:rsid w:val="00C737C9"/>
    <w:rsid w:val="00CC08AD"/>
    <w:rsid w:val="00CD68A7"/>
    <w:rsid w:val="00D02507"/>
    <w:rsid w:val="00D037C9"/>
    <w:rsid w:val="00D311A9"/>
    <w:rsid w:val="00DA506A"/>
    <w:rsid w:val="00DA72AD"/>
    <w:rsid w:val="00DC4D9F"/>
    <w:rsid w:val="00E0104D"/>
    <w:rsid w:val="00E6779C"/>
    <w:rsid w:val="00E94413"/>
    <w:rsid w:val="00EB58E3"/>
    <w:rsid w:val="00ED22F0"/>
    <w:rsid w:val="00EE50D1"/>
    <w:rsid w:val="00EE6DB2"/>
    <w:rsid w:val="00F03A0A"/>
    <w:rsid w:val="00F12726"/>
    <w:rsid w:val="00F26CF1"/>
    <w:rsid w:val="00F55221"/>
    <w:rsid w:val="00F9418B"/>
    <w:rsid w:val="00FE0276"/>
    <w:rsid w:val="00FE156B"/>
    <w:rsid w:val="00FF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6D0C7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37EB"/>
    <w:pPr>
      <w:ind w:left="720"/>
      <w:contextualSpacing/>
    </w:pPr>
  </w:style>
  <w:style w:type="character" w:customStyle="1" w:styleId="rvts23">
    <w:name w:val="rvts23"/>
    <w:rsid w:val="00A337EB"/>
  </w:style>
  <w:style w:type="character" w:customStyle="1" w:styleId="rvts9">
    <w:name w:val="rvts9"/>
    <w:rsid w:val="00A337EB"/>
  </w:style>
  <w:style w:type="paragraph" w:customStyle="1" w:styleId="a4">
    <w:name w:val="Нормальний текст"/>
    <w:basedOn w:val="a"/>
    <w:rsid w:val="00554711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val="uk-UA" w:eastAsia="ru-RU"/>
    </w:rPr>
  </w:style>
  <w:style w:type="character" w:customStyle="1" w:styleId="rvts0">
    <w:name w:val="rvts0"/>
    <w:rsid w:val="00554711"/>
  </w:style>
  <w:style w:type="paragraph" w:customStyle="1" w:styleId="rvps2">
    <w:name w:val="rvps2"/>
    <w:basedOn w:val="a"/>
    <w:rsid w:val="009F14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2A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A7E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Текст выноски Знак"/>
    <w:link w:val="a5"/>
    <w:uiPriority w:val="99"/>
    <w:semiHidden/>
    <w:locked/>
    <w:rsid w:val="00DA72AD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A7E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9A7E2F"/>
    <w:rPr>
      <w:rFonts w:cs="Times New Roman"/>
    </w:rPr>
  </w:style>
  <w:style w:type="paragraph" w:customStyle="1" w:styleId="rvps12">
    <w:name w:val="rvps12"/>
    <w:basedOn w:val="a"/>
    <w:rsid w:val="00291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aa">
    <w:name w:val="Нижний колонтитул Знак"/>
    <w:link w:val="a9"/>
    <w:uiPriority w:val="99"/>
    <w:locked/>
    <w:rsid w:val="009A7E2F"/>
    <w:rPr>
      <w:rFonts w:cs="Times New Roman"/>
    </w:rPr>
  </w:style>
  <w:style w:type="character" w:styleId="ab">
    <w:name w:val="Hyperlink"/>
    <w:uiPriority w:val="99"/>
    <w:semiHidden/>
    <w:unhideWhenUsed/>
    <w:rsid w:val="002919EE"/>
    <w:rPr>
      <w:color w:val="0000FF"/>
      <w:u w:val="single"/>
    </w:rPr>
  </w:style>
  <w:style w:type="paragraph" w:customStyle="1" w:styleId="rvps7">
    <w:name w:val="rvps7"/>
    <w:basedOn w:val="a"/>
    <w:rsid w:val="00291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rvts15">
    <w:name w:val="rvts15"/>
    <w:basedOn w:val="a0"/>
    <w:rsid w:val="002919EE"/>
  </w:style>
  <w:style w:type="character" w:customStyle="1" w:styleId="rvts82">
    <w:name w:val="rvts82"/>
    <w:basedOn w:val="a0"/>
    <w:rsid w:val="002919EE"/>
  </w:style>
  <w:style w:type="paragraph" w:customStyle="1" w:styleId="StyleZakonu">
    <w:name w:val="StyleZakonu"/>
    <w:basedOn w:val="a"/>
    <w:rsid w:val="002919EE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 w:eastAsia="ru-RU"/>
    </w:rPr>
  </w:style>
  <w:style w:type="paragraph" w:customStyle="1" w:styleId="rvps17">
    <w:name w:val="rvps17"/>
    <w:basedOn w:val="a"/>
    <w:rsid w:val="00726C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rvts64">
    <w:name w:val="rvts64"/>
    <w:basedOn w:val="a0"/>
    <w:rsid w:val="00726C95"/>
  </w:style>
  <w:style w:type="paragraph" w:customStyle="1" w:styleId="rvps6">
    <w:name w:val="rvps6"/>
    <w:basedOn w:val="a"/>
    <w:rsid w:val="00726C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10">
    <w:name w:val="Заголовок 1 Знак"/>
    <w:link w:val="1"/>
    <w:rsid w:val="006D0C7D"/>
    <w:rPr>
      <w:rFonts w:ascii="Arial" w:hAnsi="Arial" w:cs="Arial"/>
      <w:b/>
      <w:bCs/>
      <w:kern w:val="32"/>
      <w:sz w:val="32"/>
      <w:szCs w:val="3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6D0C7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37EB"/>
    <w:pPr>
      <w:ind w:left="720"/>
      <w:contextualSpacing/>
    </w:pPr>
  </w:style>
  <w:style w:type="character" w:customStyle="1" w:styleId="rvts23">
    <w:name w:val="rvts23"/>
    <w:rsid w:val="00A337EB"/>
  </w:style>
  <w:style w:type="character" w:customStyle="1" w:styleId="rvts9">
    <w:name w:val="rvts9"/>
    <w:rsid w:val="00A337EB"/>
  </w:style>
  <w:style w:type="paragraph" w:customStyle="1" w:styleId="a4">
    <w:name w:val="Нормальний текст"/>
    <w:basedOn w:val="a"/>
    <w:rsid w:val="00554711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val="uk-UA" w:eastAsia="ru-RU"/>
    </w:rPr>
  </w:style>
  <w:style w:type="character" w:customStyle="1" w:styleId="rvts0">
    <w:name w:val="rvts0"/>
    <w:rsid w:val="00554711"/>
  </w:style>
  <w:style w:type="paragraph" w:customStyle="1" w:styleId="rvps2">
    <w:name w:val="rvps2"/>
    <w:basedOn w:val="a"/>
    <w:rsid w:val="009F14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2A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A7E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Текст выноски Знак"/>
    <w:link w:val="a5"/>
    <w:uiPriority w:val="99"/>
    <w:semiHidden/>
    <w:locked/>
    <w:rsid w:val="00DA72AD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A7E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9A7E2F"/>
    <w:rPr>
      <w:rFonts w:cs="Times New Roman"/>
    </w:rPr>
  </w:style>
  <w:style w:type="paragraph" w:customStyle="1" w:styleId="rvps12">
    <w:name w:val="rvps12"/>
    <w:basedOn w:val="a"/>
    <w:rsid w:val="00291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aa">
    <w:name w:val="Нижний колонтитул Знак"/>
    <w:link w:val="a9"/>
    <w:uiPriority w:val="99"/>
    <w:locked/>
    <w:rsid w:val="009A7E2F"/>
    <w:rPr>
      <w:rFonts w:cs="Times New Roman"/>
    </w:rPr>
  </w:style>
  <w:style w:type="character" w:styleId="ab">
    <w:name w:val="Hyperlink"/>
    <w:uiPriority w:val="99"/>
    <w:semiHidden/>
    <w:unhideWhenUsed/>
    <w:rsid w:val="002919EE"/>
    <w:rPr>
      <w:color w:val="0000FF"/>
      <w:u w:val="single"/>
    </w:rPr>
  </w:style>
  <w:style w:type="paragraph" w:customStyle="1" w:styleId="rvps7">
    <w:name w:val="rvps7"/>
    <w:basedOn w:val="a"/>
    <w:rsid w:val="00291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rvts15">
    <w:name w:val="rvts15"/>
    <w:basedOn w:val="a0"/>
    <w:rsid w:val="002919EE"/>
  </w:style>
  <w:style w:type="character" w:customStyle="1" w:styleId="rvts82">
    <w:name w:val="rvts82"/>
    <w:basedOn w:val="a0"/>
    <w:rsid w:val="002919EE"/>
  </w:style>
  <w:style w:type="paragraph" w:customStyle="1" w:styleId="StyleZakonu">
    <w:name w:val="StyleZakonu"/>
    <w:basedOn w:val="a"/>
    <w:rsid w:val="002919EE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 w:eastAsia="ru-RU"/>
    </w:rPr>
  </w:style>
  <w:style w:type="paragraph" w:customStyle="1" w:styleId="rvps17">
    <w:name w:val="rvps17"/>
    <w:basedOn w:val="a"/>
    <w:rsid w:val="00726C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rvts64">
    <w:name w:val="rvts64"/>
    <w:basedOn w:val="a0"/>
    <w:rsid w:val="00726C95"/>
  </w:style>
  <w:style w:type="paragraph" w:customStyle="1" w:styleId="rvps6">
    <w:name w:val="rvps6"/>
    <w:basedOn w:val="a"/>
    <w:rsid w:val="00726C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10">
    <w:name w:val="Заголовок 1 Знак"/>
    <w:link w:val="1"/>
    <w:rsid w:val="006D0C7D"/>
    <w:rPr>
      <w:rFonts w:ascii="Arial" w:hAnsi="Arial" w:cs="Arial"/>
      <w:b/>
      <w:bCs/>
      <w:kern w:val="32"/>
      <w:sz w:val="32"/>
      <w:szCs w:val="3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06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9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527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15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993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4964</Words>
  <Characters>2831</Characters>
  <Application>Microsoft Office Word</Application>
  <DocSecurity>0</DocSecurity>
  <Lines>23</Lines>
  <Paragraphs>15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2020-02-24T12:33:00Z</dcterms:created>
  <dcterms:modified xsi:type="dcterms:W3CDTF">2020-02-24T12:33:00Z</dcterms:modified>
</cp:coreProperties>
</file>