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711" w:rsidRPr="00713EA3" w:rsidRDefault="00D30711" w:rsidP="00D30711">
      <w:pPr>
        <w:pStyle w:val="a3"/>
        <w:ind w:left="4320"/>
        <w:jc w:val="right"/>
        <w:rPr>
          <w:b w:val="0"/>
          <w:i/>
          <w:iCs/>
          <w:szCs w:val="28"/>
        </w:rPr>
      </w:pPr>
      <w:r w:rsidRPr="00713EA3">
        <w:rPr>
          <w:b w:val="0"/>
          <w:i/>
          <w:iCs/>
          <w:szCs w:val="28"/>
        </w:rPr>
        <w:t>ПРОЄКТ</w:t>
      </w:r>
    </w:p>
    <w:p w:rsidR="00D30711" w:rsidRPr="00713EA3" w:rsidRDefault="00D30711" w:rsidP="00D30711">
      <w:pPr>
        <w:pStyle w:val="a3"/>
        <w:ind w:left="4320"/>
        <w:jc w:val="right"/>
        <w:rPr>
          <w:b w:val="0"/>
          <w:i/>
          <w:iCs/>
          <w:szCs w:val="28"/>
        </w:rPr>
      </w:pPr>
      <w:r w:rsidRPr="00713EA3">
        <w:rPr>
          <w:b w:val="0"/>
          <w:i/>
          <w:iCs/>
          <w:szCs w:val="28"/>
        </w:rPr>
        <w:t xml:space="preserve">вноситься народними </w:t>
      </w:r>
    </w:p>
    <w:p w:rsidR="00D30711" w:rsidRPr="00713EA3" w:rsidRDefault="00D30711" w:rsidP="00D30711">
      <w:pPr>
        <w:pStyle w:val="a3"/>
        <w:ind w:left="4320"/>
        <w:jc w:val="right"/>
        <w:rPr>
          <w:b w:val="0"/>
          <w:i/>
          <w:iCs/>
          <w:szCs w:val="28"/>
        </w:rPr>
      </w:pPr>
      <w:r w:rsidRPr="00713EA3">
        <w:rPr>
          <w:b w:val="0"/>
          <w:i/>
          <w:iCs/>
          <w:szCs w:val="28"/>
        </w:rPr>
        <w:t>депутата</w:t>
      </w:r>
      <w:r w:rsidRPr="00713EA3">
        <w:rPr>
          <w:b w:val="0"/>
          <w:i/>
          <w:iCs/>
          <w:szCs w:val="28"/>
          <w:lang w:val="ru-RU"/>
        </w:rPr>
        <w:t>ми</w:t>
      </w:r>
      <w:r w:rsidRPr="00713EA3">
        <w:rPr>
          <w:b w:val="0"/>
          <w:i/>
          <w:iCs/>
          <w:szCs w:val="28"/>
        </w:rPr>
        <w:t xml:space="preserve"> України </w:t>
      </w:r>
    </w:p>
    <w:p w:rsidR="00D30711" w:rsidRPr="00713EA3" w:rsidRDefault="00D30711" w:rsidP="00D30711">
      <w:pPr>
        <w:pStyle w:val="a3"/>
        <w:ind w:left="4320"/>
        <w:jc w:val="right"/>
        <w:rPr>
          <w:b w:val="0"/>
          <w:i/>
          <w:iCs/>
          <w:szCs w:val="28"/>
        </w:rPr>
      </w:pPr>
    </w:p>
    <w:p w:rsidR="00D30711" w:rsidRPr="00713EA3" w:rsidRDefault="00D30711" w:rsidP="001C6568">
      <w:pPr>
        <w:pStyle w:val="a3"/>
        <w:ind w:left="4320"/>
        <w:jc w:val="right"/>
        <w:rPr>
          <w:b w:val="0"/>
          <w:i/>
          <w:iCs/>
          <w:szCs w:val="28"/>
          <w:lang w:val="ru-RU"/>
        </w:rPr>
      </w:pPr>
      <w:r w:rsidRPr="00713EA3">
        <w:rPr>
          <w:b w:val="0"/>
          <w:i/>
          <w:iCs/>
          <w:szCs w:val="28"/>
          <w:lang w:val="ru-RU"/>
        </w:rPr>
        <w:t xml:space="preserve">М. В. </w:t>
      </w:r>
      <w:proofErr w:type="spellStart"/>
      <w:r w:rsidRPr="00713EA3">
        <w:rPr>
          <w:b w:val="0"/>
          <w:i/>
          <w:iCs/>
          <w:szCs w:val="28"/>
          <w:lang w:val="ru-RU"/>
        </w:rPr>
        <w:t>Павлюком</w:t>
      </w:r>
      <w:proofErr w:type="spellEnd"/>
      <w:r w:rsidRPr="00713EA3">
        <w:rPr>
          <w:b w:val="0"/>
          <w:i/>
          <w:iCs/>
          <w:szCs w:val="28"/>
          <w:lang w:val="ru-RU"/>
        </w:rPr>
        <w:t xml:space="preserve"> (№98)</w:t>
      </w:r>
    </w:p>
    <w:p w:rsidR="00D30711" w:rsidRPr="00713EA3" w:rsidRDefault="00D30711" w:rsidP="001C6568">
      <w:pPr>
        <w:pStyle w:val="a5"/>
        <w:ind w:right="-6"/>
        <w:jc w:val="center"/>
        <w:rPr>
          <w:i/>
          <w:color w:val="000000"/>
          <w:szCs w:val="28"/>
        </w:rPr>
      </w:pPr>
      <w:r w:rsidRPr="00713EA3">
        <w:rPr>
          <w:i/>
          <w:color w:val="000000"/>
          <w:szCs w:val="28"/>
        </w:rPr>
        <w:t xml:space="preserve">                                                                                                О.С. </w:t>
      </w:r>
      <w:proofErr w:type="spellStart"/>
      <w:r w:rsidRPr="00713EA3">
        <w:rPr>
          <w:i/>
          <w:color w:val="000000"/>
          <w:szCs w:val="28"/>
        </w:rPr>
        <w:t>Бакумовим</w:t>
      </w:r>
      <w:proofErr w:type="spellEnd"/>
      <w:r w:rsidRPr="00713EA3">
        <w:rPr>
          <w:i/>
          <w:color w:val="000000"/>
          <w:szCs w:val="28"/>
        </w:rPr>
        <w:t xml:space="preserve"> (№374)</w:t>
      </w:r>
    </w:p>
    <w:p w:rsidR="001C6568" w:rsidRPr="001C6568" w:rsidRDefault="001C6568" w:rsidP="001C6568">
      <w:pPr>
        <w:spacing w:after="40" w:line="240" w:lineRule="auto"/>
        <w:ind w:left="6663"/>
        <w:rPr>
          <w:i/>
          <w:lang w:val="uk-UA"/>
        </w:rPr>
      </w:pPr>
      <w:r w:rsidRPr="001C6568">
        <w:rPr>
          <w:i/>
        </w:rPr>
        <w:t xml:space="preserve">І.Л. </w:t>
      </w:r>
      <w:bookmarkStart w:id="0" w:name="_GoBack"/>
      <w:bookmarkEnd w:id="0"/>
      <w:r w:rsidRPr="001C6568">
        <w:rPr>
          <w:i/>
        </w:rPr>
        <w:t>Герасименко (№268)</w:t>
      </w:r>
    </w:p>
    <w:p w:rsidR="001C6568" w:rsidRPr="001C6568" w:rsidRDefault="001C6568" w:rsidP="001C6568">
      <w:pPr>
        <w:spacing w:after="40" w:line="240" w:lineRule="auto"/>
        <w:ind w:left="6663"/>
        <w:rPr>
          <w:i/>
        </w:rPr>
      </w:pPr>
      <w:r w:rsidRPr="001C6568">
        <w:rPr>
          <w:i/>
        </w:rPr>
        <w:t>А.Г. Дмитрук (№334)</w:t>
      </w:r>
    </w:p>
    <w:p w:rsidR="001C6568" w:rsidRPr="001C6568" w:rsidRDefault="001C6568" w:rsidP="001C6568">
      <w:pPr>
        <w:spacing w:after="40" w:line="240" w:lineRule="auto"/>
        <w:ind w:left="6663"/>
        <w:rPr>
          <w:i/>
        </w:rPr>
      </w:pPr>
      <w:r w:rsidRPr="001C6568">
        <w:rPr>
          <w:i/>
        </w:rPr>
        <w:t xml:space="preserve">Д.С. </w:t>
      </w:r>
      <w:proofErr w:type="spellStart"/>
      <w:r w:rsidRPr="001C6568">
        <w:rPr>
          <w:i/>
        </w:rPr>
        <w:t>Припутень</w:t>
      </w:r>
      <w:proofErr w:type="spellEnd"/>
      <w:r w:rsidRPr="001C6568">
        <w:rPr>
          <w:i/>
        </w:rPr>
        <w:t xml:space="preserve"> (№97)</w:t>
      </w:r>
    </w:p>
    <w:p w:rsidR="00D30711" w:rsidRPr="001C6568" w:rsidRDefault="00D30711" w:rsidP="00D30711">
      <w:pPr>
        <w:pStyle w:val="a5"/>
        <w:spacing w:line="360" w:lineRule="auto"/>
        <w:ind w:left="6663" w:right="-6"/>
        <w:rPr>
          <w:i/>
          <w:color w:val="000000"/>
          <w:szCs w:val="28"/>
          <w:lang w:val="ru-RU"/>
        </w:rPr>
      </w:pPr>
    </w:p>
    <w:p w:rsidR="00D30711" w:rsidRPr="00713EA3" w:rsidRDefault="00D30711" w:rsidP="00D30711">
      <w:pPr>
        <w:pStyle w:val="a5"/>
        <w:ind w:right="-6"/>
        <w:jc w:val="center"/>
        <w:rPr>
          <w:b/>
          <w:color w:val="000000"/>
          <w:szCs w:val="28"/>
        </w:rPr>
      </w:pPr>
      <w:r w:rsidRPr="00713EA3">
        <w:rPr>
          <w:b/>
          <w:color w:val="000000"/>
          <w:szCs w:val="28"/>
        </w:rPr>
        <w:t>ЗАКОН УКРАЇНИ</w:t>
      </w:r>
    </w:p>
    <w:p w:rsidR="00D30711" w:rsidRPr="00713EA3" w:rsidRDefault="00D30711" w:rsidP="00D30711">
      <w:pPr>
        <w:pStyle w:val="a5"/>
        <w:ind w:right="-6"/>
        <w:jc w:val="center"/>
        <w:rPr>
          <w:b/>
          <w:bCs/>
          <w:color w:val="000000"/>
          <w:szCs w:val="28"/>
        </w:rPr>
      </w:pPr>
      <w:r w:rsidRPr="00713EA3">
        <w:rPr>
          <w:b/>
          <w:bCs/>
          <w:color w:val="000000"/>
          <w:szCs w:val="28"/>
        </w:rPr>
        <w:t xml:space="preserve">«Про внесення змін до деяких законодавчих актів України щодо вдосконалення правових засад діяльності Національної гвардії України» </w:t>
      </w:r>
    </w:p>
    <w:p w:rsidR="00D30711" w:rsidRPr="00713EA3" w:rsidRDefault="00D30711" w:rsidP="00D30711">
      <w:pPr>
        <w:pStyle w:val="a5"/>
        <w:ind w:right="-6"/>
        <w:jc w:val="center"/>
        <w:rPr>
          <w:b/>
          <w:bCs/>
          <w:color w:val="000000"/>
          <w:szCs w:val="28"/>
        </w:rPr>
      </w:pP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 xml:space="preserve">Верховна Рада України  </w:t>
      </w:r>
      <w:r w:rsidRPr="00713EA3">
        <w:rPr>
          <w:b/>
          <w:color w:val="000000"/>
          <w:lang w:val="uk-UA"/>
        </w:rPr>
        <w:t>п о с т а н о в л я є:</w:t>
      </w:r>
      <w:r w:rsidRPr="00713EA3">
        <w:rPr>
          <w:color w:val="000000"/>
          <w:lang w:val="uk-UA"/>
        </w:rPr>
        <w:t xml:space="preserve"> 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 xml:space="preserve">I.  </w:t>
      </w:r>
      <w:proofErr w:type="spellStart"/>
      <w:r w:rsidRPr="00713EA3">
        <w:rPr>
          <w:color w:val="000000"/>
          <w:lang w:val="uk-UA"/>
        </w:rPr>
        <w:t>Внести</w:t>
      </w:r>
      <w:proofErr w:type="spellEnd"/>
      <w:r w:rsidRPr="00713EA3">
        <w:rPr>
          <w:color w:val="000000"/>
          <w:lang w:val="uk-UA"/>
        </w:rPr>
        <w:t xml:space="preserve"> зміни до таких законодавчих актів України: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1. У Кодексі України про адміністративні правопорушення (Відомості Верховної Ради УРСР, 1984 р., додаток до № 51, ст. 1122):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1) у  назві, частині першій статті 185-7 після слів «поліцейського»  доповнити словами «посадової особи Національної гвардії України», а слово «ним» замінити словом «ними»;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2) пункт 1 частини першої статті 255 доповнити новим абзацом такого змісту: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«Національної гвардії України (крім військовослужбовців строкової служби) (частина перша статті 51, 173, 173-3, 174, 175-1 (за винятком порушень, учинених у місцях, заборонених рішенням відповідної сільської, селищної, міської ради), статті 178, 180, 182, 185, 185-1, 185-7, 191,</w:t>
      </w:r>
      <w:r w:rsidR="00225D28">
        <w:rPr>
          <w:color w:val="000000"/>
          <w:lang w:val="uk-UA"/>
        </w:rPr>
        <w:t xml:space="preserve"> 195-3, 195-6)/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3) у частині першій статті 259 після слова «поліцейський» доповнити словами «військовослужбовцем Національної гвардії України»;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4) частину другу статті 262 доповнити новим пунктом такого змісту: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 xml:space="preserve">«8) посадовими особами Національної гвардії України ‒ при вчиненні дрібного хуліганства, порушенні порядку організації і проведення зборів, мітингів, вуличних походів і демонстрацій, учиненні злісної непокори законному розпорядженню чи </w:t>
      </w:r>
      <w:proofErr w:type="spellStart"/>
      <w:r w:rsidRPr="00713EA3">
        <w:rPr>
          <w:color w:val="000000"/>
          <w:lang w:val="uk-UA"/>
        </w:rPr>
        <w:t>вимозі</w:t>
      </w:r>
      <w:proofErr w:type="spellEnd"/>
      <w:r w:rsidRPr="00713EA3">
        <w:rPr>
          <w:color w:val="000000"/>
          <w:lang w:val="uk-UA"/>
        </w:rPr>
        <w:t xml:space="preserve"> поліцейського, члена громадського формування з охорони громадського порядку і державного кордону, а також військовослужбовця чи образи їх, публічних закликів до невиконання вимог поліцейського, правил обігу наркотичних засобів або психотропних речовин, при розпиванні спиртних напоїв у громадських місцях чи появі в громадських місцях у нетверезому стані, що ображає людську гідність і громадську мораль, а також в інших випадках, прямо передбачених законами України.»;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5) частини першу та третю статті 264 після слів «у Збройних Силах України» доповнити словами «, Національної гвардії України»;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6) доповнити статтю 265 новою частиною такого змісту: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 xml:space="preserve">«При вчиненні порушень, передбачених статтями 173-3, 174, 191, 195-3 посадова особа Національної гвардії України має право вилучити георгіївську </w:t>
      </w:r>
      <w:r w:rsidRPr="00713EA3">
        <w:rPr>
          <w:color w:val="000000"/>
          <w:lang w:val="uk-UA"/>
        </w:rPr>
        <w:lastRenderedPageBreak/>
        <w:t>(гвардійську) стрічку чи її зображення, нагородну, вогнепальну мисливську, пневматичну зброю калібру понад 4,5 міліметра і швидкістю польоту кулі понад 100 метрів за секунду та холодну зброю,</w:t>
      </w:r>
      <w:r w:rsidRPr="00713EA3">
        <w:rPr>
          <w:lang w:val="uk-UA"/>
        </w:rPr>
        <w:t xml:space="preserve"> </w:t>
      </w:r>
      <w:r w:rsidRPr="00713EA3">
        <w:rPr>
          <w:color w:val="000000"/>
          <w:lang w:val="uk-UA"/>
        </w:rPr>
        <w:t xml:space="preserve">пристрої для відстрілу патронів, споряджених гумовими чи аналогічними за своїми властивостями метальними снарядами несмертельної дії, бойові припаси і спеціальні засоби самооборони, карти, рулетку, «наперсток» та інші предмети, які використовуються при азартних іграх та ворожінні. Посадова особа Національної гвардії України має право провести особистий огляд і огляд речей порушника в порядку, визначеному статтею 264 цього Кодексу.». </w:t>
      </w: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</w:p>
    <w:p w:rsidR="00D30711" w:rsidRPr="00713EA3" w:rsidRDefault="00D30711" w:rsidP="00D30711">
      <w:pPr>
        <w:spacing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 xml:space="preserve">2. У </w:t>
      </w:r>
      <w:r w:rsidRPr="00713EA3">
        <w:rPr>
          <w:bCs/>
          <w:color w:val="000000"/>
          <w:lang w:val="uk-UA"/>
        </w:rPr>
        <w:t xml:space="preserve">Законі України </w:t>
      </w:r>
      <w:r w:rsidRPr="00713EA3">
        <w:rPr>
          <w:color w:val="000000"/>
          <w:lang w:val="uk-UA"/>
        </w:rPr>
        <w:t>«</w:t>
      </w:r>
      <w:r w:rsidRPr="00713EA3">
        <w:rPr>
          <w:bCs/>
          <w:color w:val="000000"/>
          <w:lang w:val="uk-UA"/>
        </w:rPr>
        <w:t>Про Національну гвардію України</w:t>
      </w:r>
      <w:r w:rsidRPr="00713EA3">
        <w:rPr>
          <w:color w:val="000000"/>
          <w:lang w:val="uk-UA"/>
        </w:rPr>
        <w:t>» (Відомості Верховної Ради України, 2014 р., № 17, ст. 594, із наступними змінами):</w:t>
      </w:r>
    </w:p>
    <w:p w:rsidR="00D30711" w:rsidRPr="00713EA3" w:rsidRDefault="00D30711" w:rsidP="00D30711">
      <w:pPr>
        <w:numPr>
          <w:ilvl w:val="0"/>
          <w:numId w:val="1"/>
        </w:numPr>
        <w:spacing w:before="120" w:after="0" w:line="240" w:lineRule="auto"/>
        <w:ind w:left="0"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у пункті 3 частини першої статті 12 після слова «виявлення» доповнити словами «та припинення»;</w:t>
      </w:r>
    </w:p>
    <w:p w:rsidR="00D30711" w:rsidRPr="00713EA3" w:rsidRDefault="00D30711" w:rsidP="00D30711">
      <w:pPr>
        <w:numPr>
          <w:ilvl w:val="0"/>
          <w:numId w:val="1"/>
        </w:numPr>
        <w:spacing w:before="60" w:after="0" w:line="240" w:lineRule="auto"/>
        <w:ind w:right="-6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у частині першій  статті 13:</w:t>
      </w:r>
    </w:p>
    <w:p w:rsidR="00D30711" w:rsidRPr="00713EA3" w:rsidRDefault="00D30711" w:rsidP="00D30711">
      <w:pPr>
        <w:spacing w:before="60"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у пункті першому після слів «громадського порядку» доповнити словами «, забезпечення громадської безпеки»;</w:t>
      </w:r>
    </w:p>
    <w:p w:rsidR="00D30711" w:rsidRPr="00713EA3" w:rsidRDefault="00D30711" w:rsidP="00D30711">
      <w:pPr>
        <w:spacing w:before="60" w:after="0" w:line="240" w:lineRule="auto"/>
        <w:ind w:left="709" w:right="-6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доповнити підпунктами 1-1 ‒ 1-4 такого змісту:</w:t>
      </w:r>
    </w:p>
    <w:p w:rsidR="00D30711" w:rsidRPr="00713EA3" w:rsidRDefault="00D30711" w:rsidP="00D30711">
      <w:pPr>
        <w:spacing w:before="60"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«1-1) уживати заходів реагування на правопорушення, визначені Кодексом України про адміністративні правопорушення, у тому числі складати протоколи про адміністративні правопорушення, на підставі та в порядку, визначених законом;</w:t>
      </w:r>
    </w:p>
    <w:p w:rsidR="00D30711" w:rsidRPr="00713EA3" w:rsidRDefault="00D30711" w:rsidP="00D30711">
      <w:pPr>
        <w:spacing w:before="60"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1-2) вимагати від фізичних осіб припинення правопорушень і дій, що перешкоджають здійсненню повноважень Національної гвардії України;</w:t>
      </w:r>
    </w:p>
    <w:p w:rsidR="00D30711" w:rsidRPr="00713EA3" w:rsidRDefault="00D30711" w:rsidP="00D30711">
      <w:pPr>
        <w:spacing w:before="60"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1-3) формувати (наповнювати) та користуватися реєстрами та базами (банками) даних Міністерства внутрішніх справ України в порядку та на підставах, визначених Міністерством внутрішніх справ України;</w:t>
      </w:r>
    </w:p>
    <w:p w:rsidR="00D30711" w:rsidRPr="00713EA3" w:rsidRDefault="00D30711" w:rsidP="00D30711">
      <w:pPr>
        <w:spacing w:before="60"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1-4) у випадках та в порядку, передбачених законами України, передавати матеріали про адміністративні правопорушення на розгляд уповноважених органів виконавчої влади або судів;»;</w:t>
      </w:r>
    </w:p>
    <w:p w:rsidR="00D30711" w:rsidRPr="00713EA3" w:rsidRDefault="00D30711" w:rsidP="00D30711">
      <w:pPr>
        <w:spacing w:before="60"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пункт 2 викласти в такій редакції:</w:t>
      </w:r>
    </w:p>
    <w:p w:rsidR="00D30711" w:rsidRPr="00713EA3" w:rsidRDefault="00D30711" w:rsidP="00D30711">
      <w:pPr>
        <w:spacing w:before="60"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 xml:space="preserve">«2)  затримувати, доставляти та/або передавати в порядку, на підставах і на строки, визначені Конституцією України, Кодексом України про адміністративні правопорушення, а також іншими законами України, органам Національної поліції (поліцейським), правоохоронним органам осіб, які вчинили або підозрюються у вчиненні адміністративного правопорушення, а також тих осіб, які порушили встановлений пропускний режим або вчинили напад на військові об’єкти Національної гвардії України, а також на </w:t>
      </w:r>
      <w:r w:rsidR="00225D28">
        <w:rPr>
          <w:color w:val="000000"/>
          <w:lang w:val="uk-UA"/>
        </w:rPr>
        <w:t xml:space="preserve">об’єкти, що нею охороняються; </w:t>
      </w:r>
    </w:p>
    <w:p w:rsidR="00D30711" w:rsidRPr="00713EA3" w:rsidRDefault="00D30711" w:rsidP="00D30711">
      <w:pPr>
        <w:spacing w:before="60"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доповнити частину пунктом 12 такого змісту:</w:t>
      </w:r>
    </w:p>
    <w:p w:rsidR="00D30711" w:rsidRPr="00713EA3" w:rsidRDefault="00D30711" w:rsidP="00D30711">
      <w:pPr>
        <w:spacing w:before="60" w:after="0" w:line="240" w:lineRule="auto"/>
        <w:ind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t>«12) застосовувати технічні прилади і технічні засоби, що мають функції фото- і кінозйомки, відеозапису, засоби фото- і кінозйомки, відеозапису, у порядку, визначеному нормативно-правовими актами Міністерства внутрішніх справ України.»;</w:t>
      </w:r>
    </w:p>
    <w:p w:rsidR="00D30711" w:rsidRPr="00713EA3" w:rsidRDefault="00D30711" w:rsidP="00D30711">
      <w:pPr>
        <w:numPr>
          <w:ilvl w:val="0"/>
          <w:numId w:val="1"/>
        </w:numPr>
        <w:spacing w:before="60" w:after="0" w:line="240" w:lineRule="auto"/>
        <w:ind w:left="0" w:right="-6" w:firstLine="709"/>
        <w:jc w:val="both"/>
        <w:rPr>
          <w:color w:val="000000"/>
          <w:lang w:val="uk-UA"/>
        </w:rPr>
      </w:pPr>
      <w:r w:rsidRPr="00713EA3">
        <w:rPr>
          <w:color w:val="000000"/>
          <w:lang w:val="uk-UA"/>
        </w:rPr>
        <w:lastRenderedPageBreak/>
        <w:t>абзац п’ятий частини третьої статті 20 доповнити новим другим  реченням такого змісту: «Під час виконання завдань з охорони громадського порядку і забезпечення громадської безпеки військовослужбовцям Національної гвардії України видається спеціальний жетон, зразок якого затверджується Міністром внутрішніх справ України.».</w:t>
      </w:r>
    </w:p>
    <w:p w:rsidR="00D30711" w:rsidRPr="00713EA3" w:rsidRDefault="00D30711" w:rsidP="00D30711">
      <w:pPr>
        <w:pStyle w:val="a5"/>
        <w:ind w:right="-6" w:firstLine="709"/>
        <w:jc w:val="both"/>
        <w:rPr>
          <w:color w:val="000000"/>
          <w:szCs w:val="28"/>
        </w:rPr>
      </w:pPr>
    </w:p>
    <w:p w:rsidR="00D30711" w:rsidRPr="00713EA3" w:rsidRDefault="00D30711" w:rsidP="00D30711">
      <w:pPr>
        <w:pStyle w:val="a5"/>
        <w:ind w:right="-6" w:firstLine="709"/>
        <w:jc w:val="both"/>
        <w:rPr>
          <w:color w:val="000000"/>
          <w:szCs w:val="28"/>
        </w:rPr>
      </w:pPr>
      <w:r w:rsidRPr="00713EA3">
        <w:rPr>
          <w:color w:val="000000"/>
          <w:szCs w:val="28"/>
        </w:rPr>
        <w:t>II. Прикінцеві положення</w:t>
      </w:r>
    </w:p>
    <w:p w:rsidR="00D30711" w:rsidRPr="00713EA3" w:rsidRDefault="00D30711" w:rsidP="00D30711">
      <w:pPr>
        <w:pStyle w:val="a5"/>
        <w:ind w:right="-6" w:firstLine="709"/>
        <w:jc w:val="both"/>
        <w:rPr>
          <w:color w:val="000000"/>
          <w:szCs w:val="28"/>
        </w:rPr>
      </w:pPr>
      <w:r w:rsidRPr="00713EA3">
        <w:rPr>
          <w:color w:val="000000"/>
          <w:szCs w:val="28"/>
        </w:rPr>
        <w:t>1. Цей Закон набирає чинності з дня, наступного за днем його опублікування.</w:t>
      </w:r>
    </w:p>
    <w:p w:rsidR="00D30711" w:rsidRPr="00713EA3" w:rsidRDefault="00D30711" w:rsidP="00D30711">
      <w:pPr>
        <w:pStyle w:val="a5"/>
        <w:ind w:right="-6" w:firstLine="709"/>
        <w:jc w:val="both"/>
        <w:rPr>
          <w:color w:val="000000"/>
          <w:szCs w:val="28"/>
        </w:rPr>
      </w:pPr>
      <w:r w:rsidRPr="00713EA3">
        <w:rPr>
          <w:color w:val="000000"/>
          <w:szCs w:val="28"/>
        </w:rPr>
        <w:t>2. Кабінету Міністрів України в тримісячний строк з дня набрання чинності цим Законом:</w:t>
      </w:r>
    </w:p>
    <w:p w:rsidR="00D30711" w:rsidRPr="00713EA3" w:rsidRDefault="00D30711" w:rsidP="00D30711">
      <w:pPr>
        <w:pStyle w:val="a5"/>
        <w:ind w:right="-6" w:firstLine="709"/>
        <w:jc w:val="both"/>
        <w:rPr>
          <w:color w:val="000000"/>
          <w:szCs w:val="28"/>
        </w:rPr>
      </w:pPr>
      <w:r w:rsidRPr="00713EA3">
        <w:rPr>
          <w:color w:val="000000"/>
          <w:szCs w:val="28"/>
        </w:rPr>
        <w:t>1) привести свої нормативно-правові акти у відповідність із цим Законом;</w:t>
      </w:r>
    </w:p>
    <w:p w:rsidR="00D30711" w:rsidRPr="00713EA3" w:rsidRDefault="00D30711" w:rsidP="00D30711">
      <w:pPr>
        <w:pStyle w:val="a5"/>
        <w:ind w:right="-6" w:firstLine="709"/>
        <w:jc w:val="both"/>
        <w:rPr>
          <w:color w:val="000000"/>
          <w:szCs w:val="28"/>
        </w:rPr>
      </w:pPr>
      <w:r w:rsidRPr="00713EA3">
        <w:rPr>
          <w:color w:val="000000"/>
          <w:szCs w:val="28"/>
        </w:rPr>
        <w:t>2) 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D30711" w:rsidRPr="00713EA3" w:rsidRDefault="00D30711" w:rsidP="00D30711">
      <w:pPr>
        <w:pStyle w:val="a5"/>
        <w:ind w:right="-6" w:firstLine="709"/>
        <w:jc w:val="both"/>
        <w:rPr>
          <w:color w:val="000000"/>
          <w:szCs w:val="28"/>
        </w:rPr>
      </w:pPr>
    </w:p>
    <w:p w:rsidR="00D30711" w:rsidRPr="00713EA3" w:rsidRDefault="00D30711" w:rsidP="00D30711">
      <w:pPr>
        <w:pStyle w:val="a5"/>
        <w:ind w:right="-6" w:firstLine="709"/>
        <w:jc w:val="both"/>
        <w:rPr>
          <w:color w:val="000000"/>
          <w:szCs w:val="28"/>
        </w:rPr>
      </w:pPr>
    </w:p>
    <w:p w:rsidR="00D30711" w:rsidRPr="00713EA3" w:rsidRDefault="00D30711" w:rsidP="00D30711">
      <w:pPr>
        <w:pStyle w:val="a5"/>
        <w:ind w:right="-6" w:firstLine="709"/>
        <w:jc w:val="both"/>
        <w:rPr>
          <w:color w:val="000000"/>
          <w:szCs w:val="28"/>
        </w:rPr>
      </w:pPr>
    </w:p>
    <w:p w:rsidR="00D30711" w:rsidRPr="00713EA3" w:rsidRDefault="00D30711" w:rsidP="00D30711">
      <w:pPr>
        <w:pStyle w:val="a5"/>
        <w:ind w:right="-6"/>
        <w:rPr>
          <w:b/>
          <w:color w:val="000000"/>
          <w:szCs w:val="28"/>
        </w:rPr>
      </w:pPr>
      <w:r w:rsidRPr="00713EA3">
        <w:rPr>
          <w:b/>
          <w:color w:val="000000"/>
          <w:szCs w:val="28"/>
        </w:rPr>
        <w:t>Голова Верховної Ради України                                         Дмитро РАЗУМКОВ</w:t>
      </w:r>
    </w:p>
    <w:p w:rsidR="00190329" w:rsidRPr="00713EA3" w:rsidRDefault="00190329"/>
    <w:sectPr w:rsidR="00190329" w:rsidRPr="00713E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E7A89"/>
    <w:multiLevelType w:val="hybridMultilevel"/>
    <w:tmpl w:val="21DEBCFC"/>
    <w:lvl w:ilvl="0" w:tplc="739489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6FB"/>
    <w:rsid w:val="00190329"/>
    <w:rsid w:val="001C6568"/>
    <w:rsid w:val="00225D28"/>
    <w:rsid w:val="002E76FB"/>
    <w:rsid w:val="00713EA3"/>
    <w:rsid w:val="00D3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56B31-9520-49FF-8987-6FDE3FD2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711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30711"/>
    <w:pPr>
      <w:spacing w:after="0" w:line="240" w:lineRule="auto"/>
      <w:jc w:val="center"/>
    </w:pPr>
    <w:rPr>
      <w:b/>
      <w:szCs w:val="20"/>
      <w:u w:color="000000"/>
      <w:lang w:val="uk-UA" w:eastAsia="ru-RU"/>
    </w:rPr>
  </w:style>
  <w:style w:type="character" w:customStyle="1" w:styleId="a4">
    <w:name w:val="Назва Знак"/>
    <w:basedOn w:val="a0"/>
    <w:link w:val="a3"/>
    <w:uiPriority w:val="10"/>
    <w:rsid w:val="00D30711"/>
    <w:rPr>
      <w:rFonts w:ascii="Times New Roman" w:eastAsia="Times New Roman" w:hAnsi="Times New Roman" w:cs="Times New Roman"/>
      <w:b/>
      <w:sz w:val="28"/>
      <w:szCs w:val="20"/>
      <w:u w:color="000000"/>
      <w:lang w:eastAsia="ru-RU"/>
    </w:rPr>
  </w:style>
  <w:style w:type="paragraph" w:styleId="a5">
    <w:name w:val="No Spacing"/>
    <w:uiPriority w:val="99"/>
    <w:qFormat/>
    <w:rsid w:val="00D30711"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6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3731</Words>
  <Characters>2127</Characters>
  <Application>Microsoft Office Word</Application>
  <DocSecurity>0</DocSecurity>
  <Lines>17</Lines>
  <Paragraphs>11</Paragraphs>
  <ScaleCrop>false</ScaleCrop>
  <Company/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Максим Васильович</dc:creator>
  <cp:keywords/>
  <dc:description/>
  <cp:lastModifiedBy>Павлюк Максим Васильович</cp:lastModifiedBy>
  <cp:revision>7</cp:revision>
  <dcterms:created xsi:type="dcterms:W3CDTF">2020-02-21T08:17:00Z</dcterms:created>
  <dcterms:modified xsi:type="dcterms:W3CDTF">2020-02-21T10:09:00Z</dcterms:modified>
</cp:coreProperties>
</file>