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785" w:rsidRPr="00BA3267" w:rsidRDefault="00051785" w:rsidP="00051785">
      <w:pPr>
        <w:widowControl w:val="0"/>
        <w:spacing w:after="0" w:line="240" w:lineRule="auto"/>
        <w:jc w:val="center"/>
        <w:rPr>
          <w:rFonts w:ascii="Times New Roman" w:hAnsi="Times New Roman"/>
          <w:b/>
          <w:sz w:val="28"/>
          <w:szCs w:val="28"/>
          <w:lang w:val="uk-UA"/>
        </w:rPr>
      </w:pPr>
      <w:r w:rsidRPr="00BA3267">
        <w:rPr>
          <w:rFonts w:ascii="Times New Roman" w:hAnsi="Times New Roman"/>
          <w:b/>
          <w:sz w:val="28"/>
          <w:szCs w:val="28"/>
          <w:lang w:val="uk-UA"/>
        </w:rPr>
        <w:t>ПОРІВНЯЛЬНА ТАБЛИЦЯ</w:t>
      </w:r>
    </w:p>
    <w:p w:rsidR="00051785" w:rsidRPr="00BA3267" w:rsidRDefault="00051785" w:rsidP="00051785">
      <w:pPr>
        <w:pStyle w:val="StyleZakonu"/>
        <w:spacing w:line="23" w:lineRule="atLeast"/>
        <w:jc w:val="center"/>
        <w:rPr>
          <w:b/>
          <w:sz w:val="28"/>
          <w:szCs w:val="28"/>
        </w:rPr>
      </w:pPr>
      <w:r w:rsidRPr="00BA3267">
        <w:rPr>
          <w:b/>
          <w:sz w:val="28"/>
          <w:szCs w:val="28"/>
        </w:rPr>
        <w:t xml:space="preserve">до проекту Закону України </w:t>
      </w:r>
      <w:r w:rsidRPr="00BA3267">
        <w:rPr>
          <w:b/>
          <w:bCs/>
          <w:sz w:val="28"/>
          <w:szCs w:val="28"/>
        </w:rPr>
        <w:t>«Про внесення змін до Кодексу адміністративного судочинства України щодо забезпечення рівномірного навантаження на суддів Великої Палати Верховного Суду та Касаційного адміністративного суду у складі Верховного Суду»</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7607"/>
      </w:tblGrid>
      <w:tr w:rsidR="00051785" w:rsidRPr="00BA3267" w:rsidTr="00DE71CC">
        <w:tc>
          <w:tcPr>
            <w:tcW w:w="7621" w:type="dxa"/>
          </w:tcPr>
          <w:p w:rsidR="00051785" w:rsidRPr="00BA3267" w:rsidRDefault="00051785" w:rsidP="00DE71CC">
            <w:pPr>
              <w:widowControl w:val="0"/>
              <w:spacing w:after="0" w:line="240" w:lineRule="auto"/>
              <w:jc w:val="center"/>
              <w:rPr>
                <w:rFonts w:ascii="Times New Roman" w:hAnsi="Times New Roman"/>
                <w:b/>
                <w:sz w:val="28"/>
                <w:szCs w:val="28"/>
                <w:lang w:val="uk-UA"/>
              </w:rPr>
            </w:pPr>
            <w:r w:rsidRPr="00BA3267">
              <w:rPr>
                <w:rFonts w:ascii="Times New Roman" w:hAnsi="Times New Roman"/>
                <w:b/>
                <w:sz w:val="28"/>
                <w:szCs w:val="28"/>
                <w:lang w:val="uk-UA"/>
              </w:rPr>
              <w:t>Зміст положення (норми) чинного акта законодавства</w:t>
            </w:r>
          </w:p>
        </w:tc>
        <w:tc>
          <w:tcPr>
            <w:tcW w:w="7607" w:type="dxa"/>
          </w:tcPr>
          <w:p w:rsidR="00051785" w:rsidRPr="00BA3267" w:rsidRDefault="00051785" w:rsidP="00DE71CC">
            <w:pPr>
              <w:widowControl w:val="0"/>
              <w:spacing w:after="0" w:line="240" w:lineRule="auto"/>
              <w:jc w:val="center"/>
              <w:rPr>
                <w:rFonts w:ascii="Times New Roman" w:hAnsi="Times New Roman"/>
                <w:b/>
                <w:sz w:val="28"/>
                <w:szCs w:val="28"/>
                <w:lang w:val="uk-UA"/>
              </w:rPr>
            </w:pPr>
            <w:r w:rsidRPr="00BA3267">
              <w:rPr>
                <w:rFonts w:ascii="Times New Roman" w:hAnsi="Times New Roman"/>
                <w:b/>
                <w:sz w:val="28"/>
                <w:szCs w:val="28"/>
                <w:lang w:val="uk-UA"/>
              </w:rPr>
              <w:t>Зміст відповідного положення (норми) проекту акта</w:t>
            </w:r>
          </w:p>
        </w:tc>
      </w:tr>
      <w:tr w:rsidR="00051785" w:rsidRPr="00BA3267" w:rsidTr="00DE71CC">
        <w:tc>
          <w:tcPr>
            <w:tcW w:w="15228" w:type="dxa"/>
            <w:gridSpan w:val="2"/>
          </w:tcPr>
          <w:p w:rsidR="00051785" w:rsidRPr="00BA3267" w:rsidRDefault="00051785" w:rsidP="00DE71CC">
            <w:pPr>
              <w:widowControl w:val="0"/>
              <w:spacing w:after="0" w:line="240" w:lineRule="auto"/>
              <w:ind w:firstLine="426"/>
              <w:jc w:val="center"/>
              <w:rPr>
                <w:rFonts w:ascii="Times New Roman" w:hAnsi="Times New Roman"/>
                <w:b/>
                <w:sz w:val="28"/>
                <w:szCs w:val="28"/>
                <w:lang w:val="uk-UA"/>
              </w:rPr>
            </w:pPr>
            <w:r w:rsidRPr="00BA3267">
              <w:rPr>
                <w:rFonts w:ascii="Times New Roman" w:hAnsi="Times New Roman"/>
                <w:b/>
                <w:sz w:val="28"/>
                <w:szCs w:val="28"/>
                <w:lang w:val="uk-UA"/>
              </w:rPr>
              <w:t>Кодекс адміністративного судочинства України</w:t>
            </w:r>
          </w:p>
        </w:tc>
      </w:tr>
      <w:tr w:rsidR="00051785" w:rsidRPr="00BA3267" w:rsidTr="00DE71CC">
        <w:tc>
          <w:tcPr>
            <w:tcW w:w="7621" w:type="dxa"/>
          </w:tcPr>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Стаття 31. Визначення складу суду</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w:t>
            </w:r>
          </w:p>
          <w:p w:rsidR="00051785" w:rsidRPr="00BA3267" w:rsidRDefault="00051785" w:rsidP="00DE71CC">
            <w:pPr>
              <w:widowControl w:val="0"/>
              <w:spacing w:after="0" w:line="240" w:lineRule="auto"/>
              <w:ind w:firstLine="426"/>
              <w:jc w:val="both"/>
              <w:rPr>
                <w:rFonts w:ascii="Times New Roman" w:hAnsi="Times New Roman"/>
                <w:b/>
                <w:bCs/>
                <w:sz w:val="28"/>
                <w:szCs w:val="28"/>
                <w:lang w:val="uk-UA"/>
              </w:rPr>
            </w:pPr>
            <w:r w:rsidRPr="00BA3267">
              <w:rPr>
                <w:rFonts w:ascii="Times New Roman" w:hAnsi="Times New Roman"/>
                <w:b/>
                <w:bCs/>
                <w:sz w:val="28"/>
                <w:szCs w:val="28"/>
                <w:lang w:val="uk-UA"/>
              </w:rPr>
              <w:t>6-1. Відсутній.</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jc w:val="both"/>
              <w:rPr>
                <w:rFonts w:ascii="Times New Roman" w:hAnsi="Times New Roman"/>
                <w:b/>
                <w:sz w:val="28"/>
                <w:szCs w:val="28"/>
                <w:lang w:val="uk-UA"/>
              </w:rPr>
            </w:pPr>
            <w:r w:rsidRPr="00BA3267">
              <w:rPr>
                <w:rFonts w:ascii="Times New Roman" w:hAnsi="Times New Roman"/>
                <w:sz w:val="28"/>
                <w:szCs w:val="28"/>
                <w:lang w:val="uk-UA"/>
              </w:rPr>
              <w:t>…</w:t>
            </w:r>
          </w:p>
        </w:tc>
        <w:tc>
          <w:tcPr>
            <w:tcW w:w="7607" w:type="dxa"/>
          </w:tcPr>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Стаття 31. Визначення складу суду</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w:t>
            </w:r>
          </w:p>
          <w:p w:rsidR="00051785" w:rsidRPr="00BA3267" w:rsidRDefault="00051785" w:rsidP="00DE71CC">
            <w:pPr>
              <w:widowControl w:val="0"/>
              <w:spacing w:after="0" w:line="240" w:lineRule="auto"/>
              <w:ind w:firstLine="426"/>
              <w:jc w:val="both"/>
              <w:rPr>
                <w:rFonts w:ascii="Times New Roman" w:hAnsi="Times New Roman"/>
                <w:b/>
                <w:sz w:val="28"/>
                <w:szCs w:val="28"/>
                <w:lang w:val="uk-UA"/>
              </w:rPr>
            </w:pPr>
            <w:r w:rsidRPr="00BA3267">
              <w:rPr>
                <w:rFonts w:ascii="Times New Roman" w:hAnsi="Times New Roman"/>
                <w:b/>
                <w:sz w:val="28"/>
                <w:szCs w:val="28"/>
                <w:lang w:val="uk-UA"/>
              </w:rPr>
              <w:t xml:space="preserve">6-1. </w:t>
            </w:r>
            <w:bookmarkStart w:id="0" w:name="_Hlk30753976"/>
            <w:r w:rsidRPr="00BA3267">
              <w:rPr>
                <w:rFonts w:ascii="Times New Roman" w:hAnsi="Times New Roman"/>
                <w:b/>
                <w:sz w:val="28"/>
                <w:szCs w:val="28"/>
                <w:lang w:val="uk-UA"/>
              </w:rPr>
              <w:t xml:space="preserve">Автоматизований розподіл скарг на рішення Вищої ради правосуддя, ухвалене за результатами розгляду скарги на рішення її Дисциплінарної палати, а також апеляційних скарг, які підлягають розгляду Великою Палатою Верховного Суду, для визначення головуючого (судді-доповідача) на засіданнях палати здійснюється між всіма суддями Великої Палати Верховного Суду </w:t>
            </w:r>
            <w:r w:rsidRPr="00BA3267">
              <w:rPr>
                <w:rFonts w:ascii="Times New Roman" w:eastAsia="Roboto Condensed Light" w:hAnsi="Times New Roman"/>
                <w:b/>
                <w:color w:val="000000"/>
                <w:sz w:val="28"/>
                <w:szCs w:val="28"/>
                <w:lang w:val="uk-UA"/>
              </w:rPr>
              <w:t>без урахування спеціалізації суддів</w:t>
            </w:r>
            <w:r w:rsidRPr="00BA3267">
              <w:rPr>
                <w:rFonts w:ascii="Times New Roman" w:hAnsi="Times New Roman"/>
                <w:b/>
                <w:sz w:val="28"/>
                <w:szCs w:val="28"/>
                <w:lang w:val="uk-UA"/>
              </w:rPr>
              <w:t>.</w:t>
            </w:r>
            <w:bookmarkEnd w:id="0"/>
          </w:p>
          <w:p w:rsidR="00051785" w:rsidRPr="00BA3267" w:rsidRDefault="00051785" w:rsidP="00DE71CC">
            <w:pPr>
              <w:widowControl w:val="0"/>
              <w:spacing w:after="0" w:line="240" w:lineRule="auto"/>
              <w:ind w:firstLine="426"/>
              <w:jc w:val="both"/>
              <w:rPr>
                <w:rFonts w:ascii="Times New Roman" w:hAnsi="Times New Roman"/>
                <w:b/>
                <w:sz w:val="28"/>
                <w:szCs w:val="28"/>
                <w:lang w:val="uk-UA"/>
              </w:rPr>
            </w:pPr>
            <w:r w:rsidRPr="00BA3267">
              <w:rPr>
                <w:rFonts w:ascii="Times New Roman" w:hAnsi="Times New Roman"/>
                <w:sz w:val="28"/>
                <w:szCs w:val="28"/>
                <w:lang w:val="uk-UA"/>
              </w:rPr>
              <w:t>…</w:t>
            </w:r>
          </w:p>
        </w:tc>
      </w:tr>
      <w:tr w:rsidR="00051785" w:rsidRPr="00BA3267" w:rsidTr="00DE71CC">
        <w:tc>
          <w:tcPr>
            <w:tcW w:w="7621" w:type="dxa"/>
          </w:tcPr>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Стаття 151. Види забезпечення позову</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3. Не допускається забезпечення позову шляхом:</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 xml:space="preserve">1) зупинення актів Верховної Ради України, Президента України, Кабінету Міністрів України, Вищої ради правосуддя, Вищої кваліфікаційної комісії суддів України, </w:t>
            </w:r>
            <w:r w:rsidRPr="00BA3267">
              <w:rPr>
                <w:rFonts w:ascii="Times New Roman" w:hAnsi="Times New Roman"/>
                <w:b/>
                <w:sz w:val="28"/>
                <w:szCs w:val="28"/>
                <w:lang w:val="uk-UA"/>
              </w:rPr>
              <w:t>Кваліфікаційно-дисциплінарної комісії прокурорів</w:t>
            </w:r>
            <w:r w:rsidRPr="00BA3267">
              <w:rPr>
                <w:rFonts w:ascii="Times New Roman" w:hAnsi="Times New Roman"/>
                <w:sz w:val="28"/>
                <w:szCs w:val="28"/>
                <w:lang w:val="uk-UA"/>
              </w:rPr>
              <w:t>, органу, що здійснює дисциплінарне провадження щодо прокурорів, та встановлення для них заборони або обов’язку вчиняти певні дії;</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w:t>
            </w:r>
          </w:p>
        </w:tc>
        <w:tc>
          <w:tcPr>
            <w:tcW w:w="7607" w:type="dxa"/>
          </w:tcPr>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Стаття 151. Види забезпечення позову</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3. Не допускається забезпечення позову шляхом:</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1) зупинення актів Верховної Ради України, Президента України, Кабінету Міністрів України, Вищої ради правосуддя, Вищої кваліфікаційної комісії суддів України, органів, що здійснюють дисциплінарне провадження щодо прокурорів, та встановлення для них заборони або обов'язку вчиняти певні дії;</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r w:rsidRPr="00BA3267">
              <w:rPr>
                <w:rFonts w:ascii="Times New Roman" w:hAnsi="Times New Roman"/>
                <w:sz w:val="28"/>
                <w:szCs w:val="28"/>
                <w:lang w:val="uk-UA"/>
              </w:rPr>
              <w:t>…</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tc>
      </w:tr>
      <w:tr w:rsidR="00051785" w:rsidRPr="00BA3267" w:rsidTr="00DE71CC">
        <w:tc>
          <w:tcPr>
            <w:tcW w:w="7621" w:type="dxa"/>
          </w:tcPr>
          <w:p w:rsidR="00051785" w:rsidRPr="00BA3267" w:rsidRDefault="00051785" w:rsidP="00DE71C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Roboto Condensed Light" w:hAnsi="Times New Roman"/>
                <w:color w:val="000000"/>
                <w:sz w:val="28"/>
                <w:szCs w:val="28"/>
                <w:lang w:val="uk-UA"/>
              </w:rPr>
            </w:pPr>
            <w:r w:rsidRPr="00BA3267">
              <w:rPr>
                <w:rFonts w:ascii="Times New Roman" w:eastAsia="Roboto Condensed Light" w:hAnsi="Times New Roman"/>
                <w:b/>
                <w:bCs/>
                <w:color w:val="000000"/>
                <w:sz w:val="28"/>
                <w:szCs w:val="28"/>
                <w:lang w:val="uk-UA"/>
              </w:rPr>
              <w:lastRenderedPageBreak/>
              <w:t>Стаття 266. </w:t>
            </w:r>
            <w:r w:rsidRPr="00BA3267">
              <w:rPr>
                <w:rFonts w:ascii="Times New Roman" w:eastAsia="Roboto Condensed Light" w:hAnsi="Times New Roman"/>
                <w:color w:val="000000"/>
                <w:sz w:val="28"/>
                <w:szCs w:val="28"/>
                <w:lang w:val="uk-UA"/>
              </w:rPr>
              <w:t>Особливості провадження у справах щодо оскарження актів, дій чи бездіяльності Верховної Ради України, Президента України, Вищої ради правосуддя, Вищої кваліфікаційної комісії суддів України</w:t>
            </w:r>
          </w:p>
          <w:p w:rsidR="00051785" w:rsidRPr="00BA3267" w:rsidRDefault="00051785" w:rsidP="00DE71C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Roboto Condensed Light" w:hAnsi="Times New Roman"/>
                <w:color w:val="000000"/>
                <w:sz w:val="28"/>
                <w:szCs w:val="28"/>
                <w:lang w:val="uk-UA"/>
              </w:rPr>
            </w:pPr>
            <w:r w:rsidRPr="00BA3267">
              <w:rPr>
                <w:rFonts w:ascii="Times New Roman" w:eastAsia="Roboto Condensed Light" w:hAnsi="Times New Roman"/>
                <w:color w:val="000000"/>
                <w:sz w:val="28"/>
                <w:szCs w:val="28"/>
                <w:lang w:val="uk-UA"/>
              </w:rPr>
              <w:t>…</w:t>
            </w:r>
          </w:p>
          <w:p w:rsidR="00051785" w:rsidRPr="00BA3267" w:rsidRDefault="00051785" w:rsidP="00DE71C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Roboto Condensed Light" w:hAnsi="Times New Roman"/>
                <w:color w:val="000000"/>
                <w:sz w:val="28"/>
                <w:szCs w:val="28"/>
                <w:lang w:val="uk-UA"/>
              </w:rPr>
            </w:pPr>
            <w:r w:rsidRPr="00BA3267">
              <w:rPr>
                <w:rFonts w:ascii="Times New Roman" w:eastAsia="Roboto Condensed Light" w:hAnsi="Times New Roman"/>
                <w:color w:val="000000"/>
                <w:sz w:val="28"/>
                <w:szCs w:val="28"/>
                <w:lang w:val="uk-UA"/>
              </w:rPr>
              <w:t xml:space="preserve">2. Адміністративні справи, зазначені у пунктах 1 - 3 частини першої цієї статті, розглядаються у порядку спрощеного позовного провадження Верховним Судом у складі колегії Касаційного адміністративного суду </w:t>
            </w:r>
            <w:r w:rsidRPr="00BA3267">
              <w:rPr>
                <w:rFonts w:ascii="Times New Roman" w:eastAsia="Roboto Condensed Light" w:hAnsi="Times New Roman"/>
                <w:b/>
                <w:color w:val="000000"/>
                <w:sz w:val="28"/>
                <w:szCs w:val="28"/>
                <w:lang w:val="uk-UA"/>
              </w:rPr>
              <w:t>не менше ніж з п'яти суддів</w:t>
            </w:r>
            <w:r w:rsidRPr="00BA3267">
              <w:rPr>
                <w:rFonts w:ascii="Times New Roman" w:eastAsia="Roboto Condensed Light" w:hAnsi="Times New Roman"/>
                <w:color w:val="000000"/>
                <w:sz w:val="28"/>
                <w:szCs w:val="28"/>
                <w:lang w:val="uk-UA"/>
              </w:rPr>
              <w:t>.</w:t>
            </w:r>
          </w:p>
          <w:p w:rsidR="00051785" w:rsidRPr="00BA3267" w:rsidRDefault="00051785" w:rsidP="00DE71C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426"/>
              <w:jc w:val="both"/>
              <w:rPr>
                <w:rFonts w:ascii="Times New Roman" w:eastAsia="Roboto Condensed Light" w:hAnsi="Times New Roman"/>
                <w:color w:val="000000"/>
                <w:sz w:val="28"/>
                <w:szCs w:val="28"/>
                <w:lang w:val="uk-UA"/>
              </w:rPr>
            </w:pP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tc>
        <w:tc>
          <w:tcPr>
            <w:tcW w:w="7607" w:type="dxa"/>
          </w:tcPr>
          <w:p w:rsidR="00051785" w:rsidRPr="00BA3267" w:rsidRDefault="00051785" w:rsidP="00DE71CC">
            <w:pPr>
              <w:widowControl w:val="0"/>
              <w:spacing w:after="0" w:line="240" w:lineRule="auto"/>
              <w:jc w:val="both"/>
              <w:rPr>
                <w:rFonts w:ascii="Times New Roman" w:eastAsia="Roboto Condensed Light" w:hAnsi="Times New Roman"/>
                <w:color w:val="000000"/>
                <w:sz w:val="28"/>
                <w:szCs w:val="28"/>
                <w:lang w:val="uk-UA"/>
              </w:rPr>
            </w:pPr>
            <w:r w:rsidRPr="00BA3267">
              <w:rPr>
                <w:rFonts w:ascii="Times New Roman" w:eastAsia="Roboto Condensed Light" w:hAnsi="Times New Roman"/>
                <w:b/>
                <w:bCs/>
                <w:color w:val="000000"/>
                <w:sz w:val="28"/>
                <w:szCs w:val="28"/>
                <w:lang w:val="uk-UA"/>
              </w:rPr>
              <w:t>Стаття 266. </w:t>
            </w:r>
            <w:r w:rsidRPr="00BA3267">
              <w:rPr>
                <w:rFonts w:ascii="Times New Roman" w:eastAsia="Roboto Condensed Light" w:hAnsi="Times New Roman"/>
                <w:color w:val="000000"/>
                <w:sz w:val="28"/>
                <w:szCs w:val="28"/>
                <w:lang w:val="uk-UA"/>
              </w:rPr>
              <w:t>Особливості провадження у справах щодо оскарження актів, дій чи бездіяльності Верховної Ради України, Президента України, Вищої ради правосуддя, Вищої кваліфікаційної комісії суддів України</w:t>
            </w:r>
          </w:p>
          <w:p w:rsidR="00051785" w:rsidRPr="00BA3267" w:rsidRDefault="00051785" w:rsidP="00DE71CC">
            <w:pPr>
              <w:widowControl w:val="0"/>
              <w:spacing w:after="0" w:line="240" w:lineRule="auto"/>
              <w:jc w:val="both"/>
              <w:rPr>
                <w:rFonts w:ascii="Times New Roman" w:eastAsia="Roboto Condensed Light" w:hAnsi="Times New Roman"/>
                <w:color w:val="000000"/>
                <w:sz w:val="28"/>
                <w:szCs w:val="28"/>
                <w:lang w:val="uk-UA"/>
              </w:rPr>
            </w:pPr>
            <w:r w:rsidRPr="00BA3267">
              <w:rPr>
                <w:rFonts w:ascii="Times New Roman" w:eastAsia="Roboto Condensed Light" w:hAnsi="Times New Roman"/>
                <w:color w:val="000000"/>
                <w:sz w:val="28"/>
                <w:szCs w:val="28"/>
                <w:lang w:val="uk-UA"/>
              </w:rPr>
              <w:t>…</w:t>
            </w:r>
          </w:p>
          <w:p w:rsidR="00051785" w:rsidRPr="00BA3267" w:rsidRDefault="00051785" w:rsidP="00DE71CC">
            <w:pPr>
              <w:widowControl w:val="0"/>
              <w:spacing w:after="0" w:line="240" w:lineRule="auto"/>
              <w:jc w:val="both"/>
              <w:rPr>
                <w:rFonts w:ascii="Times New Roman" w:hAnsi="Times New Roman"/>
                <w:sz w:val="28"/>
                <w:szCs w:val="28"/>
                <w:lang w:val="uk-UA"/>
              </w:rPr>
            </w:pPr>
            <w:r w:rsidRPr="00BA3267">
              <w:rPr>
                <w:rFonts w:ascii="Times New Roman" w:eastAsia="Roboto Condensed Light" w:hAnsi="Times New Roman"/>
                <w:color w:val="000000"/>
                <w:sz w:val="28"/>
                <w:szCs w:val="28"/>
                <w:lang w:val="uk-UA"/>
              </w:rPr>
              <w:t xml:space="preserve">       2. Адміністративні справи, зазначені у пунктах 1 - 3 частини першої цієї статті, розглядаються у порядку спрощеного позовного провадження Верховним Судом у складі колегії Касаційного адміністративного суду </w:t>
            </w:r>
            <w:r w:rsidRPr="00BA3267">
              <w:rPr>
                <w:rFonts w:ascii="Times New Roman" w:eastAsia="Roboto Condensed Light" w:hAnsi="Times New Roman"/>
                <w:b/>
                <w:color w:val="000000"/>
                <w:sz w:val="28"/>
                <w:szCs w:val="28"/>
                <w:lang w:val="uk-UA"/>
              </w:rPr>
              <w:t>не менше ніж з трьох суддів. Розподіл таких справ між суддями Касаційного адміністративного суду у складі Верховного Суду  здійснюється без урахування спеціалізації суддів.</w:t>
            </w:r>
          </w:p>
          <w:p w:rsidR="00051785" w:rsidRPr="00BA3267" w:rsidRDefault="00051785" w:rsidP="00DE71CC">
            <w:pPr>
              <w:widowControl w:val="0"/>
              <w:spacing w:after="0" w:line="240" w:lineRule="auto"/>
              <w:ind w:firstLine="426"/>
              <w:jc w:val="both"/>
              <w:rPr>
                <w:rFonts w:ascii="Times New Roman" w:hAnsi="Times New Roman"/>
                <w:sz w:val="28"/>
                <w:szCs w:val="28"/>
                <w:lang w:val="uk-UA"/>
              </w:rPr>
            </w:pPr>
          </w:p>
        </w:tc>
      </w:tr>
    </w:tbl>
    <w:p w:rsidR="00051785" w:rsidRDefault="00051785" w:rsidP="00051785">
      <w:pPr>
        <w:widowControl w:val="0"/>
        <w:spacing w:after="0" w:line="240" w:lineRule="auto"/>
        <w:rPr>
          <w:rFonts w:ascii="Times New Roman" w:hAnsi="Times New Roman"/>
          <w:b/>
          <w:sz w:val="28"/>
          <w:szCs w:val="28"/>
          <w:lang w:val="uk-UA"/>
        </w:rPr>
      </w:pPr>
    </w:p>
    <w:p w:rsidR="00051785" w:rsidRDefault="00051785" w:rsidP="00051785">
      <w:pPr>
        <w:widowControl w:val="0"/>
        <w:spacing w:after="0" w:line="240" w:lineRule="auto"/>
        <w:rPr>
          <w:rFonts w:ascii="Times New Roman" w:hAnsi="Times New Roman"/>
          <w:b/>
          <w:sz w:val="28"/>
          <w:szCs w:val="28"/>
          <w:lang w:val="uk-UA"/>
        </w:rPr>
      </w:pPr>
      <w:r>
        <w:rPr>
          <w:rFonts w:ascii="Times New Roman" w:hAnsi="Times New Roman"/>
          <w:b/>
          <w:sz w:val="28"/>
          <w:szCs w:val="28"/>
          <w:lang w:val="uk-UA"/>
        </w:rPr>
        <w:t xml:space="preserve">         Народні</w:t>
      </w:r>
      <w:r w:rsidRPr="002A365F">
        <w:rPr>
          <w:rFonts w:ascii="Times New Roman" w:hAnsi="Times New Roman"/>
          <w:b/>
          <w:sz w:val="28"/>
          <w:szCs w:val="28"/>
          <w:lang w:val="uk-UA"/>
        </w:rPr>
        <w:t xml:space="preserve"> депутат</w:t>
      </w:r>
      <w:r>
        <w:rPr>
          <w:rFonts w:ascii="Times New Roman" w:hAnsi="Times New Roman"/>
          <w:b/>
          <w:sz w:val="28"/>
          <w:szCs w:val="28"/>
          <w:lang w:val="uk-UA"/>
        </w:rPr>
        <w:t>и</w:t>
      </w:r>
      <w:r w:rsidRPr="002A365F">
        <w:rPr>
          <w:rFonts w:ascii="Times New Roman" w:hAnsi="Times New Roman"/>
          <w:b/>
          <w:sz w:val="28"/>
          <w:szCs w:val="28"/>
          <w:lang w:val="uk-UA"/>
        </w:rPr>
        <w:t xml:space="preserve"> України                                                                                         </w:t>
      </w:r>
      <w:r>
        <w:rPr>
          <w:rFonts w:ascii="Times New Roman" w:hAnsi="Times New Roman"/>
          <w:b/>
          <w:sz w:val="28"/>
          <w:szCs w:val="28"/>
          <w:lang w:val="uk-UA"/>
        </w:rPr>
        <w:t xml:space="preserve">          </w:t>
      </w:r>
      <w:r w:rsidRPr="002A365F">
        <w:rPr>
          <w:rFonts w:ascii="Times New Roman" w:hAnsi="Times New Roman"/>
          <w:b/>
          <w:sz w:val="28"/>
          <w:szCs w:val="28"/>
          <w:lang w:val="uk-UA"/>
        </w:rPr>
        <w:t xml:space="preserve"> Р.</w:t>
      </w:r>
      <w:r>
        <w:rPr>
          <w:rFonts w:ascii="Times New Roman" w:hAnsi="Times New Roman"/>
          <w:b/>
          <w:sz w:val="28"/>
          <w:szCs w:val="28"/>
          <w:lang w:val="uk-UA"/>
        </w:rPr>
        <w:t xml:space="preserve"> </w:t>
      </w:r>
      <w:r w:rsidRPr="002A365F">
        <w:rPr>
          <w:rFonts w:ascii="Times New Roman" w:hAnsi="Times New Roman"/>
          <w:b/>
          <w:sz w:val="28"/>
          <w:szCs w:val="28"/>
          <w:lang w:val="uk-UA"/>
        </w:rPr>
        <w:t>В. Бабій</w:t>
      </w:r>
    </w:p>
    <w:p w:rsidR="00051785" w:rsidRDefault="00051785" w:rsidP="00051785">
      <w:pPr>
        <w:widowControl w:val="0"/>
        <w:spacing w:after="0" w:line="240" w:lineRule="auto"/>
        <w:rPr>
          <w:rFonts w:ascii="Times New Roman" w:hAnsi="Times New Roman"/>
          <w:b/>
          <w:sz w:val="28"/>
          <w:szCs w:val="28"/>
          <w:lang w:val="uk-UA"/>
        </w:rPr>
      </w:pPr>
    </w:p>
    <w:p w:rsidR="00051785" w:rsidRDefault="00051785" w:rsidP="00051785">
      <w:pPr>
        <w:widowControl w:val="0"/>
        <w:spacing w:after="0" w:line="240" w:lineRule="auto"/>
        <w:rPr>
          <w:rFonts w:ascii="Times New Roman" w:hAnsi="Times New Roman"/>
          <w:b/>
          <w:sz w:val="28"/>
          <w:szCs w:val="28"/>
          <w:lang w:val="uk-UA"/>
        </w:rPr>
      </w:pPr>
      <w:r w:rsidRPr="00051785">
        <w:rPr>
          <w:rFonts w:ascii="Times New Roman" w:hAnsi="Times New Roman"/>
          <w:b/>
          <w:sz w:val="28"/>
          <w:szCs w:val="28"/>
        </w:rPr>
        <w:t xml:space="preserve">                                                                                                                                                              </w:t>
      </w:r>
      <w:r>
        <w:rPr>
          <w:rFonts w:ascii="Times New Roman" w:hAnsi="Times New Roman"/>
          <w:b/>
          <w:sz w:val="28"/>
          <w:szCs w:val="28"/>
          <w:lang w:val="uk-UA"/>
        </w:rPr>
        <w:t>В. А. Ватрас</w:t>
      </w:r>
    </w:p>
    <w:p w:rsidR="00051785" w:rsidRDefault="00051785" w:rsidP="00051785">
      <w:pPr>
        <w:widowControl w:val="0"/>
        <w:spacing w:after="0" w:line="240" w:lineRule="auto"/>
        <w:rPr>
          <w:rFonts w:ascii="Times New Roman" w:hAnsi="Times New Roman"/>
          <w:b/>
          <w:sz w:val="28"/>
          <w:szCs w:val="28"/>
          <w:lang w:val="uk-UA"/>
        </w:rPr>
      </w:pPr>
    </w:p>
    <w:p w:rsidR="00051785" w:rsidRDefault="00051785" w:rsidP="00051785">
      <w:pPr>
        <w:widowControl w:val="0"/>
        <w:spacing w:after="0" w:line="240" w:lineRule="auto"/>
        <w:rPr>
          <w:rFonts w:ascii="Times New Roman" w:hAnsi="Times New Roman"/>
          <w:b/>
          <w:sz w:val="28"/>
          <w:szCs w:val="28"/>
          <w:lang w:val="uk-UA"/>
        </w:rPr>
      </w:pPr>
      <w:r>
        <w:rPr>
          <w:rFonts w:ascii="Times New Roman" w:hAnsi="Times New Roman"/>
          <w:b/>
          <w:sz w:val="28"/>
          <w:szCs w:val="28"/>
          <w:lang w:val="uk-UA"/>
        </w:rPr>
        <w:t xml:space="preserve">                                                                                                                                                              В. І. Божик</w:t>
      </w:r>
    </w:p>
    <w:p w:rsidR="00051785" w:rsidRDefault="00051785" w:rsidP="00051785">
      <w:pPr>
        <w:widowControl w:val="0"/>
        <w:spacing w:after="0" w:line="240" w:lineRule="auto"/>
        <w:rPr>
          <w:rFonts w:ascii="Times New Roman" w:hAnsi="Times New Roman"/>
          <w:b/>
          <w:sz w:val="28"/>
          <w:szCs w:val="28"/>
          <w:lang w:val="uk-UA"/>
        </w:rPr>
      </w:pPr>
    </w:p>
    <w:p w:rsidR="00051785" w:rsidRDefault="00051785" w:rsidP="00051785">
      <w:pPr>
        <w:widowControl w:val="0"/>
        <w:spacing w:after="0" w:line="240" w:lineRule="auto"/>
        <w:rPr>
          <w:rFonts w:ascii="Times New Roman" w:hAnsi="Times New Roman"/>
          <w:b/>
          <w:sz w:val="28"/>
          <w:szCs w:val="28"/>
          <w:lang w:val="uk-UA"/>
        </w:rPr>
      </w:pPr>
      <w:r>
        <w:rPr>
          <w:rFonts w:ascii="Times New Roman" w:hAnsi="Times New Roman"/>
          <w:b/>
          <w:sz w:val="28"/>
          <w:szCs w:val="28"/>
          <w:lang w:val="uk-UA"/>
        </w:rPr>
        <w:t xml:space="preserve">                                                                                                                                                              М. Є. Дирдін</w:t>
      </w:r>
    </w:p>
    <w:p w:rsidR="00051785" w:rsidRPr="00051785" w:rsidRDefault="00051785" w:rsidP="00051785">
      <w:pPr>
        <w:widowControl w:val="0"/>
        <w:spacing w:after="0" w:line="240" w:lineRule="auto"/>
        <w:rPr>
          <w:rFonts w:ascii="Times New Roman" w:hAnsi="Times New Roman"/>
          <w:b/>
          <w:sz w:val="28"/>
          <w:szCs w:val="28"/>
        </w:rPr>
      </w:pPr>
      <w:r w:rsidRPr="00051785">
        <w:rPr>
          <w:rFonts w:ascii="Times New Roman" w:hAnsi="Times New Roman"/>
          <w:b/>
          <w:sz w:val="28"/>
          <w:szCs w:val="28"/>
        </w:rPr>
        <w:t xml:space="preserve">                                                                                                                                                           </w:t>
      </w:r>
    </w:p>
    <w:p w:rsidR="00051785" w:rsidRPr="00AD68D5" w:rsidRDefault="00051785" w:rsidP="00051785">
      <w:pPr>
        <w:widowControl w:val="0"/>
        <w:spacing w:after="0" w:line="240" w:lineRule="auto"/>
        <w:rPr>
          <w:rFonts w:ascii="Times New Roman" w:hAnsi="Times New Roman"/>
          <w:b/>
          <w:sz w:val="28"/>
          <w:szCs w:val="28"/>
          <w:lang w:val="uk-UA"/>
        </w:rPr>
      </w:pPr>
      <w:r w:rsidRPr="00051785">
        <w:rPr>
          <w:rFonts w:ascii="Times New Roman" w:hAnsi="Times New Roman"/>
          <w:b/>
          <w:sz w:val="28"/>
          <w:szCs w:val="28"/>
        </w:rPr>
        <w:t xml:space="preserve">                                                                                                                                                               </w:t>
      </w:r>
      <w:r>
        <w:rPr>
          <w:rFonts w:ascii="Times New Roman" w:hAnsi="Times New Roman"/>
          <w:b/>
          <w:sz w:val="28"/>
          <w:szCs w:val="28"/>
          <w:lang w:val="uk-UA"/>
        </w:rPr>
        <w:t>І. Р. Калаур</w:t>
      </w:r>
    </w:p>
    <w:p w:rsidR="00051785" w:rsidRPr="00BA3267" w:rsidRDefault="00051785" w:rsidP="00051785">
      <w:pPr>
        <w:widowControl w:val="0"/>
        <w:spacing w:after="0" w:line="240" w:lineRule="auto"/>
        <w:rPr>
          <w:rFonts w:ascii="Times New Roman" w:hAnsi="Times New Roman"/>
          <w:b/>
          <w:sz w:val="28"/>
          <w:szCs w:val="28"/>
          <w:lang w:val="uk-UA"/>
        </w:rPr>
      </w:pPr>
    </w:p>
    <w:p w:rsidR="00BC0D44" w:rsidRPr="002B20FE" w:rsidRDefault="00051785">
      <w:pPr>
        <w:rPr>
          <w:lang w:val="uk-UA"/>
        </w:rPr>
      </w:pPr>
      <w:bookmarkStart w:id="1" w:name="_GoBack"/>
      <w:bookmarkEnd w:id="1"/>
    </w:p>
    <w:sectPr w:rsidR="00BC0D44" w:rsidRPr="002B20FE" w:rsidSect="00ED3930">
      <w:headerReference w:type="default" r:id="rId5"/>
      <w:footerReference w:type="first" r:id="rId6"/>
      <w:pgSz w:w="16838" w:h="11906" w:orient="landscape"/>
      <w:pgMar w:top="-993" w:right="1134" w:bottom="709" w:left="1134" w:header="284"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Roboto Condensed Light">
    <w:altName w:val="Times New Roman"/>
    <w:charset w:val="00"/>
    <w:family w:val="auto"/>
    <w:pitch w:val="default"/>
  </w:font>
  <w:font w:name="Cambria">
    <w:altName w:val="Palatino Linotype"/>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FC4" w:rsidRDefault="00051785" w:rsidP="003F38A6">
    <w:pPr>
      <w:pStyle w:val="a8"/>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FC4" w:rsidRDefault="00051785">
    <w:pPr>
      <w:pStyle w:val="a6"/>
      <w:jc w:val="right"/>
    </w:pPr>
    <w:r>
      <w:fldChar w:fldCharType="begin"/>
    </w:r>
    <w:r>
      <w:instrText xml:space="preserve"> PAGE   \* MERGEFORMAT </w:instrText>
    </w:r>
    <w:r>
      <w:fldChar w:fldCharType="separate"/>
    </w:r>
    <w:r>
      <w:rPr>
        <w:noProof/>
      </w:rPr>
      <w:t>2</w:t>
    </w:r>
    <w:r>
      <w:fldChar w:fldCharType="end"/>
    </w:r>
  </w:p>
  <w:p w:rsidR="004C3FC4" w:rsidRDefault="00051785" w:rsidP="003F38A6">
    <w:pPr>
      <w:pStyle w:val="a6"/>
      <w:tabs>
        <w:tab w:val="left" w:pos="597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F5383"/>
    <w:multiLevelType w:val="hybridMultilevel"/>
    <w:tmpl w:val="34D05EA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C5"/>
    <w:rsid w:val="00051785"/>
    <w:rsid w:val="000A35D7"/>
    <w:rsid w:val="00124670"/>
    <w:rsid w:val="00124A05"/>
    <w:rsid w:val="0026694F"/>
    <w:rsid w:val="002B20FE"/>
    <w:rsid w:val="002B3C4B"/>
    <w:rsid w:val="0034346F"/>
    <w:rsid w:val="004C077A"/>
    <w:rsid w:val="005F4D6C"/>
    <w:rsid w:val="00685CFD"/>
    <w:rsid w:val="00905CDC"/>
    <w:rsid w:val="009210F0"/>
    <w:rsid w:val="00A52600"/>
    <w:rsid w:val="00A64FB8"/>
    <w:rsid w:val="00BD7F8C"/>
    <w:rsid w:val="00C0554D"/>
    <w:rsid w:val="00C7242B"/>
    <w:rsid w:val="00F04B70"/>
    <w:rsid w:val="00F85DC5"/>
    <w:rsid w:val="00F942F8"/>
    <w:rsid w:val="00FA1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BD2FA-45E7-4025-B391-6AFD24CD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F8C"/>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 документа"/>
    <w:basedOn w:val="a"/>
    <w:next w:val="a"/>
    <w:uiPriority w:val="99"/>
    <w:rsid w:val="00BD7F8C"/>
    <w:pPr>
      <w:keepNext/>
      <w:keepLines/>
      <w:spacing w:before="360" w:after="360" w:line="240" w:lineRule="auto"/>
      <w:jc w:val="center"/>
    </w:pPr>
    <w:rPr>
      <w:rFonts w:ascii="Antiqua" w:hAnsi="Antiqua"/>
      <w:b/>
      <w:sz w:val="26"/>
      <w:szCs w:val="20"/>
      <w:lang w:val="uk-UA" w:eastAsia="ru-RU"/>
    </w:rPr>
  </w:style>
  <w:style w:type="paragraph" w:styleId="a4">
    <w:name w:val="Body Text"/>
    <w:basedOn w:val="a"/>
    <w:link w:val="a5"/>
    <w:unhideWhenUsed/>
    <w:rsid w:val="002B3C4B"/>
    <w:pPr>
      <w:spacing w:after="0" w:line="240" w:lineRule="auto"/>
      <w:jc w:val="center"/>
    </w:pPr>
    <w:rPr>
      <w:rFonts w:ascii="Times New Roman" w:hAnsi="Times New Roman"/>
      <w:b/>
      <w:bCs/>
      <w:sz w:val="28"/>
      <w:szCs w:val="28"/>
      <w:lang w:val="uk-UA" w:eastAsia="ru-RU"/>
    </w:rPr>
  </w:style>
  <w:style w:type="character" w:customStyle="1" w:styleId="a5">
    <w:name w:val="Основний текст Знак"/>
    <w:basedOn w:val="a0"/>
    <w:link w:val="a4"/>
    <w:rsid w:val="002B3C4B"/>
    <w:rPr>
      <w:rFonts w:ascii="Times New Roman" w:eastAsia="Times New Roman" w:hAnsi="Times New Roman" w:cs="Times New Roman"/>
      <w:b/>
      <w:bCs/>
      <w:sz w:val="28"/>
      <w:szCs w:val="28"/>
      <w:lang w:val="uk-UA" w:eastAsia="ru-RU"/>
    </w:rPr>
  </w:style>
  <w:style w:type="paragraph" w:styleId="a6">
    <w:name w:val="header"/>
    <w:basedOn w:val="a"/>
    <w:link w:val="a7"/>
    <w:uiPriority w:val="99"/>
    <w:rsid w:val="00051785"/>
    <w:pPr>
      <w:tabs>
        <w:tab w:val="center" w:pos="4677"/>
        <w:tab w:val="right" w:pos="9355"/>
      </w:tabs>
      <w:spacing w:after="0" w:line="240" w:lineRule="auto"/>
    </w:pPr>
    <w:rPr>
      <w:rFonts w:ascii="Calibri" w:hAnsi="Calibri"/>
    </w:rPr>
  </w:style>
  <w:style w:type="character" w:customStyle="1" w:styleId="a7">
    <w:name w:val="Верхній колонтитул Знак"/>
    <w:basedOn w:val="a0"/>
    <w:link w:val="a6"/>
    <w:uiPriority w:val="99"/>
    <w:rsid w:val="00051785"/>
    <w:rPr>
      <w:rFonts w:ascii="Calibri" w:eastAsia="Times New Roman" w:hAnsi="Calibri" w:cs="Times New Roman"/>
    </w:rPr>
  </w:style>
  <w:style w:type="paragraph" w:styleId="a8">
    <w:name w:val="footer"/>
    <w:basedOn w:val="a"/>
    <w:link w:val="a9"/>
    <w:uiPriority w:val="99"/>
    <w:semiHidden/>
    <w:rsid w:val="00051785"/>
    <w:pPr>
      <w:tabs>
        <w:tab w:val="center" w:pos="4677"/>
        <w:tab w:val="right" w:pos="9355"/>
      </w:tabs>
      <w:spacing w:after="0" w:line="240" w:lineRule="auto"/>
    </w:pPr>
    <w:rPr>
      <w:rFonts w:ascii="Calibri" w:hAnsi="Calibri"/>
    </w:rPr>
  </w:style>
  <w:style w:type="character" w:customStyle="1" w:styleId="a9">
    <w:name w:val="Нижній колонтитул Знак"/>
    <w:basedOn w:val="a0"/>
    <w:link w:val="a8"/>
    <w:uiPriority w:val="99"/>
    <w:semiHidden/>
    <w:rsid w:val="00051785"/>
    <w:rPr>
      <w:rFonts w:ascii="Calibri" w:eastAsia="Times New Roman" w:hAnsi="Calibri" w:cs="Times New Roman"/>
    </w:rPr>
  </w:style>
  <w:style w:type="paragraph" w:customStyle="1" w:styleId="StyleZakonu">
    <w:name w:val="StyleZakonu"/>
    <w:basedOn w:val="a"/>
    <w:rsid w:val="00051785"/>
    <w:pPr>
      <w:spacing w:after="60" w:line="220" w:lineRule="exact"/>
      <w:ind w:firstLine="284"/>
      <w:jc w:val="both"/>
    </w:pPr>
    <w:rPr>
      <w:rFonts w:ascii="Times New Roman" w:hAnsi="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2385</Words>
  <Characters>1360</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Бабій Роман Вячеславович</cp:lastModifiedBy>
  <cp:revision>2</cp:revision>
  <dcterms:created xsi:type="dcterms:W3CDTF">2020-02-21T10:20:00Z</dcterms:created>
  <dcterms:modified xsi:type="dcterms:W3CDTF">2020-02-21T10:20:00Z</dcterms:modified>
</cp:coreProperties>
</file>