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573273" w:rsidRPr="005D498F" w:rsidP="009558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D498F"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:rsidR="00C14B22" w:rsidRPr="00C14B22" w:rsidP="00C14B22">
      <w:pPr>
        <w:pStyle w:val="StyleZakonu"/>
        <w:spacing w:after="0" w:line="240" w:lineRule="auto"/>
        <w:ind w:hanging="142"/>
        <w:jc w:val="center"/>
        <w:rPr>
          <w:bCs/>
          <w:sz w:val="28"/>
        </w:rPr>
      </w:pPr>
      <w:r w:rsidR="006D54C8">
        <w:rPr>
          <w:b/>
          <w:sz w:val="28"/>
          <w:szCs w:val="28"/>
          <w:lang w:val="en-US"/>
        </w:rPr>
        <w:t xml:space="preserve">  </w:t>
      </w:r>
      <w:r w:rsidRPr="005D498F" w:rsidR="00F04BE0">
        <w:rPr>
          <w:b/>
          <w:sz w:val="28"/>
          <w:szCs w:val="28"/>
        </w:rPr>
        <w:t>до про</w:t>
      </w:r>
      <w:r w:rsidR="0051593E">
        <w:rPr>
          <w:b/>
          <w:sz w:val="28"/>
          <w:szCs w:val="28"/>
        </w:rPr>
        <w:t>е</w:t>
      </w:r>
      <w:r w:rsidRPr="005D498F" w:rsidR="00F04BE0">
        <w:rPr>
          <w:b/>
          <w:sz w:val="28"/>
          <w:szCs w:val="28"/>
        </w:rPr>
        <w:t xml:space="preserve">кту Закону </w:t>
      </w:r>
      <w:r w:rsidRPr="000D23F1" w:rsidR="00F04BE0">
        <w:rPr>
          <w:b/>
          <w:sz w:val="28"/>
          <w:szCs w:val="28"/>
        </w:rPr>
        <w:t>України</w:t>
      </w:r>
      <w:r w:rsidRPr="000D23F1" w:rsidR="005D498F">
        <w:rPr>
          <w:b/>
          <w:sz w:val="28"/>
          <w:szCs w:val="28"/>
        </w:rPr>
        <w:t xml:space="preserve"> </w:t>
      </w:r>
      <w:r>
        <w:rPr>
          <w:b/>
          <w:bCs/>
          <w:sz w:val="28"/>
        </w:rPr>
        <w:t>п</w:t>
      </w:r>
      <w:r w:rsidRPr="00C14B22">
        <w:rPr>
          <w:b/>
          <w:bCs/>
          <w:sz w:val="28"/>
        </w:rPr>
        <w:t>ро внесення змін до деяких законодавчих актів щодо ефективності використання коштів соціального страхування</w:t>
      </w:r>
    </w:p>
    <w:p w:rsidR="00DE03C6" w:rsidRPr="005D498F" w:rsidP="00C14B22">
      <w:pPr>
        <w:pStyle w:val="StyleZakonu"/>
        <w:spacing w:after="0" w:line="240" w:lineRule="auto"/>
        <w:ind w:firstLine="720"/>
        <w:jc w:val="center"/>
        <w:rPr>
          <w:b/>
          <w:sz w:val="28"/>
          <w:szCs w:val="28"/>
        </w:rPr>
      </w:pPr>
    </w:p>
    <w:p w:rsidR="00573273" w:rsidRPr="005D498F" w:rsidP="005D498F">
      <w:pPr>
        <w:spacing w:after="12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5D498F" w:rsidR="00BB78FA">
        <w:rPr>
          <w:rFonts w:ascii="Times New Roman" w:hAnsi="Times New Roman"/>
          <w:b/>
          <w:sz w:val="28"/>
          <w:szCs w:val="28"/>
        </w:rPr>
        <w:t>1</w:t>
      </w:r>
      <w:r w:rsidRPr="005D498F">
        <w:rPr>
          <w:rFonts w:ascii="Times New Roman" w:hAnsi="Times New Roman"/>
          <w:b/>
          <w:sz w:val="28"/>
          <w:szCs w:val="28"/>
        </w:rPr>
        <w:t xml:space="preserve">. </w:t>
      </w:r>
      <w:r w:rsidRPr="005D498F">
        <w:rPr>
          <w:rFonts w:ascii="Times New Roman" w:hAnsi="Times New Roman"/>
          <w:b/>
          <w:bCs/>
          <w:sz w:val="28"/>
          <w:szCs w:val="28"/>
        </w:rPr>
        <w:t>Обґрунтування необхідності прийняття акта</w:t>
      </w:r>
    </w:p>
    <w:p w:rsidR="000A4764" w:rsidP="000A4764">
      <w:pPr>
        <w:pStyle w:val="StyleZakonu"/>
        <w:spacing w:after="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Відповідно до статті </w:t>
      </w:r>
      <w:r w:rsidRPr="000A4764">
        <w:rPr>
          <w:bCs/>
          <w:sz w:val="28"/>
          <w:szCs w:val="28"/>
        </w:rPr>
        <w:t>98</w:t>
      </w:r>
      <w:r>
        <w:rPr>
          <w:bCs/>
          <w:sz w:val="28"/>
          <w:szCs w:val="28"/>
        </w:rPr>
        <w:t xml:space="preserve"> Конституції України</w:t>
      </w:r>
      <w:r w:rsidRPr="000A476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контроль </w:t>
      </w:r>
      <w:r w:rsidRPr="000A4764">
        <w:rPr>
          <w:bCs/>
          <w:sz w:val="28"/>
          <w:szCs w:val="28"/>
        </w:rPr>
        <w:t>за надходженням коштів до Державного бюджету України та їх використанням здійснює Рахункова палата.</w:t>
      </w:r>
    </w:p>
    <w:p w:rsidR="000A4764" w:rsidP="0051593E">
      <w:pPr>
        <w:pStyle w:val="StyleZakonu"/>
        <w:spacing w:after="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До повноважень Рахункової палати згідно із статтею 7 Закону України «Про Рахункову палату» належить</w:t>
      </w:r>
      <w:r w:rsidRPr="000A4764">
        <w:t xml:space="preserve"> </w:t>
      </w:r>
      <w:r w:rsidRPr="000A4764">
        <w:rPr>
          <w:bCs/>
          <w:sz w:val="28"/>
          <w:szCs w:val="28"/>
        </w:rPr>
        <w:t>здійсн</w:t>
      </w:r>
      <w:r>
        <w:rPr>
          <w:bCs/>
          <w:sz w:val="28"/>
          <w:szCs w:val="28"/>
        </w:rPr>
        <w:t>ення</w:t>
      </w:r>
      <w:r w:rsidRPr="000A4764">
        <w:rPr>
          <w:bCs/>
          <w:sz w:val="28"/>
          <w:szCs w:val="28"/>
        </w:rPr>
        <w:t xml:space="preserve"> фінансов</w:t>
      </w:r>
      <w:r>
        <w:rPr>
          <w:bCs/>
          <w:sz w:val="28"/>
          <w:szCs w:val="28"/>
        </w:rPr>
        <w:t>ого</w:t>
      </w:r>
      <w:r w:rsidRPr="000A4764">
        <w:rPr>
          <w:bCs/>
          <w:sz w:val="28"/>
          <w:szCs w:val="28"/>
        </w:rPr>
        <w:t xml:space="preserve"> аудит</w:t>
      </w:r>
      <w:r>
        <w:rPr>
          <w:bCs/>
          <w:sz w:val="28"/>
          <w:szCs w:val="28"/>
        </w:rPr>
        <w:t>у</w:t>
      </w:r>
      <w:r w:rsidRPr="000A4764">
        <w:rPr>
          <w:bCs/>
          <w:sz w:val="28"/>
          <w:szCs w:val="28"/>
        </w:rPr>
        <w:t xml:space="preserve"> та аудит</w:t>
      </w:r>
      <w:r>
        <w:rPr>
          <w:bCs/>
          <w:sz w:val="28"/>
          <w:szCs w:val="28"/>
        </w:rPr>
        <w:t>у</w:t>
      </w:r>
      <w:r w:rsidRPr="000A4764">
        <w:rPr>
          <w:bCs/>
          <w:sz w:val="28"/>
          <w:szCs w:val="28"/>
        </w:rPr>
        <w:t xml:space="preserve"> ефективності </w:t>
      </w:r>
      <w:r>
        <w:rPr>
          <w:bCs/>
          <w:sz w:val="28"/>
          <w:szCs w:val="28"/>
        </w:rPr>
        <w:t xml:space="preserve">в частині, зокрема, </w:t>
      </w:r>
      <w:r w:rsidRPr="000A4764">
        <w:rPr>
          <w:bCs/>
          <w:sz w:val="28"/>
          <w:szCs w:val="28"/>
        </w:rPr>
        <w:t>проведення витрат державного бюджету, включаючи використання коштів державного бюджету, наданих фондам загальнообов’язкового державного соціал</w:t>
      </w:r>
      <w:r>
        <w:rPr>
          <w:bCs/>
          <w:sz w:val="28"/>
          <w:szCs w:val="28"/>
        </w:rPr>
        <w:t>ьного і пенсійного страхування.</w:t>
      </w:r>
    </w:p>
    <w:p w:rsidR="000A4764" w:rsidP="0051593E">
      <w:pPr>
        <w:pStyle w:val="StyleZakonu"/>
        <w:spacing w:after="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Водночас, Закон України «</w:t>
      </w:r>
      <w:r w:rsidRPr="000A4764">
        <w:rPr>
          <w:bCs/>
          <w:sz w:val="28"/>
          <w:szCs w:val="28"/>
        </w:rPr>
        <w:t>Про відкритість використання публічних коштів</w:t>
      </w:r>
      <w:r>
        <w:rPr>
          <w:bCs/>
          <w:sz w:val="28"/>
          <w:szCs w:val="28"/>
        </w:rPr>
        <w:t xml:space="preserve">» передбачає, що до </w:t>
      </w:r>
      <w:r w:rsidRPr="000A4764">
        <w:rPr>
          <w:bCs/>
          <w:sz w:val="28"/>
          <w:szCs w:val="28"/>
        </w:rPr>
        <w:t>публічн</w:t>
      </w:r>
      <w:r>
        <w:rPr>
          <w:bCs/>
          <w:sz w:val="28"/>
          <w:szCs w:val="28"/>
        </w:rPr>
        <w:t>их коштів, разом із коштами</w:t>
      </w:r>
      <w:r w:rsidRPr="000A4764">
        <w:rPr>
          <w:bCs/>
          <w:sz w:val="28"/>
          <w:szCs w:val="28"/>
        </w:rPr>
        <w:t xml:space="preserve"> державного бюджету, бюджету Автономної Республіки Крим та місцевих бюджетів, кредитн</w:t>
      </w:r>
      <w:r>
        <w:rPr>
          <w:bCs/>
          <w:sz w:val="28"/>
          <w:szCs w:val="28"/>
        </w:rPr>
        <w:t>их</w:t>
      </w:r>
      <w:r w:rsidRPr="000A4764">
        <w:rPr>
          <w:bCs/>
          <w:sz w:val="28"/>
          <w:szCs w:val="28"/>
        </w:rPr>
        <w:t xml:space="preserve"> ресурс</w:t>
      </w:r>
      <w:r>
        <w:rPr>
          <w:bCs/>
          <w:sz w:val="28"/>
          <w:szCs w:val="28"/>
        </w:rPr>
        <w:t>ів</w:t>
      </w:r>
      <w:r w:rsidRPr="000A4764">
        <w:rPr>
          <w:bCs/>
          <w:sz w:val="28"/>
          <w:szCs w:val="28"/>
        </w:rPr>
        <w:t>, надан</w:t>
      </w:r>
      <w:r>
        <w:rPr>
          <w:bCs/>
          <w:sz w:val="28"/>
          <w:szCs w:val="28"/>
        </w:rPr>
        <w:t>их</w:t>
      </w:r>
      <w:r w:rsidRPr="000A4764">
        <w:rPr>
          <w:bCs/>
          <w:sz w:val="28"/>
          <w:szCs w:val="28"/>
        </w:rPr>
        <w:t xml:space="preserve"> під державні та місцеві гарантії, кошт</w:t>
      </w:r>
      <w:r>
        <w:rPr>
          <w:bCs/>
          <w:sz w:val="28"/>
          <w:szCs w:val="28"/>
        </w:rPr>
        <w:t>ами</w:t>
      </w:r>
      <w:r w:rsidRPr="000A4764">
        <w:rPr>
          <w:bCs/>
          <w:sz w:val="28"/>
          <w:szCs w:val="28"/>
        </w:rPr>
        <w:t xml:space="preserve"> Національного банку України, державних банків, державних цільових фондів</w:t>
      </w:r>
      <w:r>
        <w:rPr>
          <w:bCs/>
          <w:sz w:val="28"/>
          <w:szCs w:val="28"/>
        </w:rPr>
        <w:t xml:space="preserve"> тощо</w:t>
      </w:r>
      <w:r w:rsidR="009D642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належать також кошти</w:t>
      </w:r>
      <w:r w:rsidRPr="000A4764">
        <w:rPr>
          <w:bCs/>
          <w:sz w:val="28"/>
          <w:szCs w:val="28"/>
        </w:rPr>
        <w:t xml:space="preserve"> Пенсійного фонду України </w:t>
      </w:r>
      <w:r>
        <w:rPr>
          <w:bCs/>
          <w:sz w:val="28"/>
          <w:szCs w:val="28"/>
        </w:rPr>
        <w:t>і</w:t>
      </w:r>
      <w:r w:rsidRPr="000A4764">
        <w:rPr>
          <w:bCs/>
          <w:sz w:val="28"/>
          <w:szCs w:val="28"/>
        </w:rPr>
        <w:t xml:space="preserve"> фондів загальнообов’язкового держ</w:t>
      </w:r>
      <w:r>
        <w:rPr>
          <w:bCs/>
          <w:sz w:val="28"/>
          <w:szCs w:val="28"/>
        </w:rPr>
        <w:t>авного соціального страхування.</w:t>
      </w:r>
    </w:p>
    <w:p w:rsidR="000A4764" w:rsidP="0051593E">
      <w:pPr>
        <w:pStyle w:val="StyleZakonu"/>
        <w:spacing w:after="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 огляду на зазначене, використання коштів </w:t>
      </w:r>
      <w:r>
        <w:rPr>
          <w:sz w:val="28"/>
          <w:szCs w:val="28"/>
        </w:rPr>
        <w:t xml:space="preserve">фондів </w:t>
      </w:r>
      <w:r w:rsidRPr="00C50FC6">
        <w:rPr>
          <w:bCs/>
          <w:sz w:val="28"/>
          <w:szCs w:val="28"/>
        </w:rPr>
        <w:t>загальнообов’язкового державного соціального і пенсійного страхування</w:t>
      </w:r>
      <w:r>
        <w:rPr>
          <w:bCs/>
          <w:sz w:val="28"/>
          <w:szCs w:val="28"/>
        </w:rPr>
        <w:t xml:space="preserve">, які є публічними коштами, </w:t>
      </w:r>
      <w:r w:rsidR="009B157F">
        <w:rPr>
          <w:bCs/>
          <w:sz w:val="28"/>
          <w:szCs w:val="28"/>
        </w:rPr>
        <w:t>має</w:t>
      </w:r>
      <w:r>
        <w:rPr>
          <w:bCs/>
          <w:sz w:val="28"/>
          <w:szCs w:val="28"/>
        </w:rPr>
        <w:t xml:space="preserve"> перевірятись нарівні з </w:t>
      </w:r>
      <w:r w:rsidR="009B157F">
        <w:rPr>
          <w:bCs/>
          <w:sz w:val="28"/>
          <w:szCs w:val="28"/>
        </w:rPr>
        <w:t>використанням бюджетних коштів.</w:t>
      </w:r>
    </w:p>
    <w:p w:rsidR="009B157F" w:rsidRPr="005D498F" w:rsidP="009B157F">
      <w:pPr>
        <w:pStyle w:val="StyleZakonu"/>
        <w:spacing w:after="0" w:line="240" w:lineRule="auto"/>
        <w:ind w:firstLine="720"/>
        <w:rPr>
          <w:sz w:val="28"/>
          <w:szCs w:val="28"/>
        </w:rPr>
      </w:pPr>
    </w:p>
    <w:p w:rsidR="005D498F" w:rsidP="005D498F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498F" w:rsidR="005A679C">
        <w:rPr>
          <w:rFonts w:ascii="Times New Roman" w:hAnsi="Times New Roman"/>
          <w:b/>
          <w:sz w:val="28"/>
          <w:szCs w:val="28"/>
        </w:rPr>
        <w:t xml:space="preserve">2. Цілі і завдання прийняття акта: </w:t>
      </w:r>
    </w:p>
    <w:p w:rsidR="005A679C" w:rsidRPr="005D498F" w:rsidP="00724C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="00B3098E">
        <w:rPr>
          <w:rFonts w:ascii="Times New Roman" w:hAnsi="Times New Roman"/>
          <w:bCs/>
          <w:sz w:val="28"/>
          <w:szCs w:val="28"/>
        </w:rPr>
        <w:t>Цілями</w:t>
      </w:r>
      <w:r w:rsidR="005D498F">
        <w:rPr>
          <w:rFonts w:ascii="Times New Roman" w:hAnsi="Times New Roman"/>
          <w:bCs/>
          <w:sz w:val="28"/>
          <w:szCs w:val="28"/>
        </w:rPr>
        <w:t xml:space="preserve"> законопроекту є </w:t>
      </w:r>
      <w:r w:rsidR="00720988">
        <w:rPr>
          <w:rFonts w:ascii="Times New Roman" w:hAnsi="Times New Roman"/>
          <w:bCs/>
          <w:sz w:val="28"/>
          <w:szCs w:val="28"/>
        </w:rPr>
        <w:t>підвищення ефективності використання коштів загальнообов’язкового державного соціального страхування</w:t>
      </w:r>
      <w:r w:rsidR="00B3098E">
        <w:rPr>
          <w:rFonts w:ascii="Times New Roman" w:hAnsi="Times New Roman"/>
          <w:sz w:val="28"/>
          <w:szCs w:val="28"/>
        </w:rPr>
        <w:t>.</w:t>
      </w:r>
    </w:p>
    <w:p w:rsidR="00724CF4" w:rsidP="00724CF4">
      <w:pPr>
        <w:pStyle w:val="StyleZakonu"/>
        <w:spacing w:after="0" w:line="240" w:lineRule="auto"/>
        <w:ind w:firstLine="720"/>
        <w:rPr>
          <w:bCs/>
          <w:sz w:val="28"/>
          <w:szCs w:val="28"/>
        </w:rPr>
      </w:pPr>
      <w:r w:rsidRPr="009B157F">
        <w:rPr>
          <w:bCs/>
          <w:sz w:val="28"/>
          <w:szCs w:val="28"/>
        </w:rPr>
        <w:t>Проект Закону України про внесення змін до деяких законодавчих актів щодо ефективності використання коштів соціального страхування</w:t>
      </w:r>
      <w:r>
        <w:rPr>
          <w:bCs/>
          <w:sz w:val="28"/>
          <w:szCs w:val="28"/>
        </w:rPr>
        <w:t xml:space="preserve"> </w:t>
      </w:r>
      <w:r w:rsidRPr="005D498F">
        <w:rPr>
          <w:bCs/>
          <w:sz w:val="28"/>
          <w:szCs w:val="28"/>
        </w:rPr>
        <w:t>розроблено з метою</w:t>
      </w:r>
      <w:r>
        <w:rPr>
          <w:bCs/>
          <w:sz w:val="28"/>
          <w:szCs w:val="28"/>
        </w:rPr>
        <w:t xml:space="preserve"> забезпечення належного </w:t>
      </w:r>
      <w:r w:rsidRPr="009B157F">
        <w:rPr>
          <w:bCs/>
          <w:sz w:val="28"/>
          <w:szCs w:val="28"/>
        </w:rPr>
        <w:t xml:space="preserve">фінансового аудиту та аудиту ефективності використання </w:t>
      </w:r>
      <w:r>
        <w:rPr>
          <w:bCs/>
          <w:sz w:val="28"/>
          <w:szCs w:val="28"/>
        </w:rPr>
        <w:t>зазначених коштів Рахунковою палатою.</w:t>
      </w:r>
    </w:p>
    <w:p w:rsidR="00724CF4" w:rsidP="00724CF4">
      <w:pPr>
        <w:pStyle w:val="StyleZakonu"/>
        <w:spacing w:after="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Зокрема, метою проведення такого аудиту системи загальнообов’язкового і пенсійного страхування є встановлення фактичного стану справ та надання оцінки продуктивності, результативності і системності використання коштів, що спрямовуються на соціальне страхування громадян, розпорядниками зазначених коштів.</w:t>
      </w:r>
    </w:p>
    <w:p w:rsidR="000A4764" w:rsidP="005D498F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E03C6" w:rsidRPr="005D498F" w:rsidP="005D498F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D498F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5D498F" w:rsidR="005A679C">
        <w:rPr>
          <w:rFonts w:ascii="Times New Roman" w:hAnsi="Times New Roman"/>
          <w:b/>
          <w:sz w:val="28"/>
          <w:szCs w:val="28"/>
        </w:rPr>
        <w:t>Загальна характеристика і основні положення проекту акта</w:t>
      </w:r>
    </w:p>
    <w:p w:rsidR="006D4FD1" w:rsidP="00C13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498F">
        <w:rPr>
          <w:rFonts w:ascii="Times New Roman" w:hAnsi="Times New Roman"/>
          <w:sz w:val="28"/>
          <w:szCs w:val="28"/>
        </w:rPr>
        <w:t xml:space="preserve">Законопроектом </w:t>
      </w:r>
      <w:r w:rsidRPr="00B3098E" w:rsidR="00B3098E">
        <w:rPr>
          <w:rFonts w:ascii="Times New Roman" w:hAnsi="Times New Roman"/>
          <w:sz w:val="28"/>
          <w:szCs w:val="28"/>
        </w:rPr>
        <w:t xml:space="preserve">вносяться зміни до </w:t>
      </w:r>
      <w:r w:rsidRPr="00B3098E" w:rsidR="00B3098E">
        <w:rPr>
          <w:rFonts w:ascii="Times New Roman" w:hAnsi="Times New Roman"/>
          <w:bCs/>
          <w:sz w:val="28"/>
        </w:rPr>
        <w:t>деяких законодавчих актів України</w:t>
      </w:r>
      <w:r w:rsidR="00B3098E">
        <w:rPr>
          <w:rFonts w:ascii="Times New Roman" w:hAnsi="Times New Roman"/>
          <w:sz w:val="28"/>
          <w:szCs w:val="28"/>
        </w:rPr>
        <w:t xml:space="preserve">, </w:t>
      </w:r>
      <w:r w:rsidR="00C13D69">
        <w:rPr>
          <w:rFonts w:ascii="Times New Roman" w:hAnsi="Times New Roman"/>
          <w:sz w:val="28"/>
          <w:szCs w:val="28"/>
        </w:rPr>
        <w:t>якими передбачено:</w:t>
      </w:r>
    </w:p>
    <w:p w:rsidR="004B7253" w:rsidP="00C13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="00C13D69">
        <w:rPr>
          <w:rFonts w:ascii="Times New Roman" w:hAnsi="Times New Roman"/>
          <w:sz w:val="28"/>
          <w:szCs w:val="28"/>
        </w:rPr>
        <w:t xml:space="preserve">зарахування коштів, що надходять від сплати єдиного внеску на загальнообов’язкове державне соціальне страхування до Державного бюджету України та використання їх на цілі, передбачені законодавством про загальнообов’язкове державне </w:t>
      </w:r>
      <w:r w:rsidR="00724CF4">
        <w:rPr>
          <w:rFonts w:ascii="Times New Roman" w:hAnsi="Times New Roman"/>
          <w:sz w:val="28"/>
          <w:szCs w:val="28"/>
        </w:rPr>
        <w:t>соціальне</w:t>
      </w:r>
      <w:r w:rsidR="00C13D69">
        <w:rPr>
          <w:rFonts w:ascii="Times New Roman" w:hAnsi="Times New Roman"/>
          <w:sz w:val="28"/>
          <w:szCs w:val="28"/>
        </w:rPr>
        <w:t xml:space="preserve"> страхування;</w:t>
      </w:r>
    </w:p>
    <w:p w:rsidR="00C13D69" w:rsidRPr="00F34168" w:rsidP="00C13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надання повноважень Рахунковій палаті щодо здійснення фінансового аудиту та аудиту ефективності використання коштів </w:t>
      </w:r>
      <w:r w:rsidR="00C50FC6">
        <w:rPr>
          <w:rFonts w:ascii="Times New Roman" w:hAnsi="Times New Roman"/>
          <w:sz w:val="28"/>
          <w:szCs w:val="28"/>
        </w:rPr>
        <w:t xml:space="preserve">фондів </w:t>
      </w:r>
      <w:r w:rsidRPr="00C50FC6" w:rsidR="00C50FC6">
        <w:rPr>
          <w:rFonts w:ascii="Times New Roman" w:hAnsi="Times New Roman"/>
          <w:bCs/>
          <w:sz w:val="28"/>
          <w:szCs w:val="28"/>
        </w:rPr>
        <w:t>загальнообов’язкового державного соціального і пенсійного страхування</w:t>
      </w:r>
      <w:r w:rsidR="00C50FC6">
        <w:rPr>
          <w:rFonts w:ascii="Times New Roman" w:hAnsi="Times New Roman"/>
          <w:bCs/>
          <w:sz w:val="28"/>
          <w:szCs w:val="28"/>
        </w:rPr>
        <w:t>.</w:t>
      </w:r>
    </w:p>
    <w:p w:rsidR="00DE03C6" w:rsidRPr="004B7253" w:rsidP="005D498F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E03C6" w:rsidRPr="005A6DA7" w:rsidP="005D498F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A6DA7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5A6DA7" w:rsidR="00BB78FA">
        <w:rPr>
          <w:rFonts w:ascii="Times New Roman" w:hAnsi="Times New Roman"/>
          <w:b/>
          <w:sz w:val="28"/>
          <w:szCs w:val="28"/>
        </w:rPr>
        <w:t>Стан нормативно-правової бази у даній сфері правового регулювання</w:t>
      </w:r>
    </w:p>
    <w:p w:rsidR="00825675" w:rsidRPr="005A6DA7" w:rsidP="00C14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DA7" w:rsidR="003930FA">
        <w:rPr>
          <w:rFonts w:ascii="Times New Roman" w:hAnsi="Times New Roman"/>
          <w:sz w:val="28"/>
          <w:szCs w:val="28"/>
        </w:rPr>
        <w:t xml:space="preserve">У </w:t>
      </w:r>
      <w:r w:rsidRPr="005A6DA7" w:rsidR="00483BEC">
        <w:rPr>
          <w:rFonts w:ascii="Times New Roman" w:hAnsi="Times New Roman"/>
          <w:sz w:val="28"/>
          <w:szCs w:val="28"/>
        </w:rPr>
        <w:t>даній</w:t>
      </w:r>
      <w:r w:rsidRPr="005A6DA7" w:rsidR="003930FA">
        <w:rPr>
          <w:rFonts w:ascii="Times New Roman" w:hAnsi="Times New Roman"/>
          <w:sz w:val="28"/>
          <w:szCs w:val="28"/>
        </w:rPr>
        <w:t xml:space="preserve"> сфері правового регулювання діють</w:t>
      </w:r>
      <w:r w:rsidRPr="005A6DA7">
        <w:rPr>
          <w:rFonts w:ascii="Times New Roman" w:hAnsi="Times New Roman"/>
          <w:sz w:val="28"/>
          <w:szCs w:val="28"/>
        </w:rPr>
        <w:t>:</w:t>
      </w:r>
      <w:r w:rsidRPr="005A6DA7" w:rsidR="003930FA">
        <w:rPr>
          <w:rFonts w:ascii="Times New Roman" w:hAnsi="Times New Roman"/>
          <w:sz w:val="28"/>
          <w:szCs w:val="28"/>
        </w:rPr>
        <w:t xml:space="preserve"> </w:t>
      </w:r>
    </w:p>
    <w:p w:rsidR="00C14B22" w:rsidRPr="005A6DA7" w:rsidP="00C14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DA7">
        <w:rPr>
          <w:rFonts w:ascii="Times New Roman" w:hAnsi="Times New Roman"/>
          <w:sz w:val="28"/>
          <w:szCs w:val="28"/>
        </w:rPr>
        <w:t>Бюджетний кодекс України;</w:t>
      </w:r>
    </w:p>
    <w:p w:rsidR="00C14B22" w:rsidRPr="005A6DA7" w:rsidP="00C14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5" w:tgtFrame="_blank" w:history="1">
        <w:r w:rsidRPr="005A6DA7">
          <w:rPr>
            <w:rStyle w:val="Hyperlink"/>
            <w:rFonts w:ascii="Times New Roman" w:hAnsi="Times New Roman"/>
            <w:color w:val="auto"/>
            <w:sz w:val="28"/>
            <w:u w:val="none"/>
          </w:rPr>
          <w:t>Основи законодавства України про загальнообов’язкове державне соціальне страхування</w:t>
        </w:r>
      </w:hyperlink>
      <w:r w:rsidRPr="005A6DA7">
        <w:rPr>
          <w:rFonts w:ascii="Times New Roman" w:hAnsi="Times New Roman"/>
          <w:sz w:val="28"/>
        </w:rPr>
        <w:t>;</w:t>
      </w:r>
    </w:p>
    <w:p w:rsidR="00C14B22" w:rsidRPr="005A6DA7" w:rsidP="00C14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DA7">
        <w:rPr>
          <w:rFonts w:ascii="Times New Roman" w:hAnsi="Times New Roman"/>
          <w:sz w:val="28"/>
          <w:szCs w:val="28"/>
        </w:rPr>
        <w:t>Закон України «Про збір та облік єдиного внеску на загальнообов’язкове державне соціальне страхування»;</w:t>
      </w:r>
    </w:p>
    <w:p w:rsidR="00C14B22" w:rsidRPr="005A6DA7" w:rsidP="00C14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DA7">
        <w:rPr>
          <w:rFonts w:ascii="Times New Roman" w:hAnsi="Times New Roman"/>
          <w:sz w:val="28"/>
          <w:szCs w:val="28"/>
          <w:lang w:eastAsia="ru-RU"/>
        </w:rPr>
        <w:t>Закон; України «Про загальнообов’язкове державне пенсійне страхування»</w:t>
      </w:r>
    </w:p>
    <w:p w:rsidR="003450BA" w:rsidRPr="005A6DA7" w:rsidP="00C14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DA7">
        <w:rPr>
          <w:rFonts w:ascii="Times New Roman" w:hAnsi="Times New Roman"/>
          <w:sz w:val="28"/>
          <w:szCs w:val="28"/>
        </w:rPr>
        <w:t>Закон України «Про загальнообов’язкове державне соціальне страхування»;</w:t>
      </w:r>
    </w:p>
    <w:p w:rsidR="003F0997" w:rsidRPr="005A6DA7" w:rsidP="00C14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DA7">
        <w:rPr>
          <w:rFonts w:ascii="Times New Roman" w:hAnsi="Times New Roman"/>
          <w:sz w:val="28"/>
          <w:szCs w:val="28"/>
        </w:rPr>
        <w:t>Закон України «Про загальнообов’язкове державне соціальне страхування на випадок безробіття»;</w:t>
      </w:r>
    </w:p>
    <w:p w:rsidR="00C14B22" w:rsidRPr="005A6DA7" w:rsidP="00C14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DA7">
        <w:rPr>
          <w:rFonts w:ascii="Times New Roman" w:hAnsi="Times New Roman"/>
          <w:sz w:val="28"/>
          <w:szCs w:val="28"/>
        </w:rPr>
        <w:t>Закон України «Про Рахункову палату».</w:t>
      </w:r>
    </w:p>
    <w:p w:rsidR="00C14B22" w:rsidRPr="005A6DA7" w:rsidP="00C14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03C6" w:rsidRPr="005A6DA7" w:rsidP="005D498F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A6DA7">
        <w:rPr>
          <w:rFonts w:ascii="Times New Roman" w:hAnsi="Times New Roman"/>
          <w:b/>
          <w:bCs/>
          <w:sz w:val="28"/>
          <w:szCs w:val="28"/>
        </w:rPr>
        <w:t xml:space="preserve">5. Фінансово-економічне </w:t>
      </w:r>
      <w:r w:rsidRPr="005A6DA7" w:rsidR="009C60FA">
        <w:rPr>
          <w:rFonts w:ascii="Times New Roman" w:hAnsi="Times New Roman"/>
          <w:b/>
          <w:bCs/>
          <w:sz w:val="28"/>
          <w:szCs w:val="28"/>
        </w:rPr>
        <w:t>обґрунтування</w:t>
      </w:r>
    </w:p>
    <w:p w:rsidR="00AB22C5" w:rsidRPr="005A6DA7" w:rsidP="005D498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DA7" w:rsidR="009C60FA">
        <w:rPr>
          <w:rFonts w:ascii="Times New Roman" w:hAnsi="Times New Roman"/>
          <w:bCs/>
          <w:sz w:val="28"/>
          <w:szCs w:val="28"/>
        </w:rPr>
        <w:t xml:space="preserve">Реалізація проекту акта не потребуватиме додаткових видатків з </w:t>
      </w:r>
      <w:r w:rsidRPr="005A6DA7" w:rsidR="009C60FA">
        <w:rPr>
          <w:rFonts w:ascii="Times New Roman" w:hAnsi="Times New Roman"/>
          <w:sz w:val="28"/>
          <w:szCs w:val="28"/>
        </w:rPr>
        <w:t xml:space="preserve">Державного бюджету України. </w:t>
      </w:r>
    </w:p>
    <w:p w:rsidR="005A679C" w:rsidRPr="005A6DA7" w:rsidP="005D498F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A6DA7">
        <w:rPr>
          <w:rFonts w:ascii="Times New Roman" w:hAnsi="Times New Roman"/>
          <w:b/>
          <w:sz w:val="28"/>
          <w:szCs w:val="28"/>
        </w:rPr>
        <w:t>6.</w:t>
      </w:r>
      <w:r w:rsidRPr="005A6DA7" w:rsidR="005D498F">
        <w:rPr>
          <w:rFonts w:ascii="Times New Roman" w:hAnsi="Times New Roman"/>
          <w:b/>
          <w:sz w:val="28"/>
          <w:szCs w:val="28"/>
        </w:rPr>
        <w:t xml:space="preserve"> </w:t>
      </w:r>
      <w:r w:rsidRPr="005A6DA7">
        <w:rPr>
          <w:rFonts w:ascii="Times New Roman" w:hAnsi="Times New Roman"/>
          <w:b/>
          <w:sz w:val="28"/>
          <w:szCs w:val="28"/>
        </w:rPr>
        <w:t>Прогноз соціально-економічних та інших наслідків прийняття акта</w:t>
      </w:r>
    </w:p>
    <w:p w:rsidR="00AC34C0" w:rsidRPr="006D54C8" w:rsidP="005D498F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6DA7">
        <w:rPr>
          <w:rFonts w:ascii="Times New Roman" w:hAnsi="Times New Roman"/>
          <w:bCs/>
          <w:sz w:val="28"/>
          <w:szCs w:val="28"/>
        </w:rPr>
        <w:t xml:space="preserve">Прийняття проекту Закону України </w:t>
      </w:r>
      <w:r w:rsidRPr="005A6DA7" w:rsidR="00FC12DB">
        <w:rPr>
          <w:rFonts w:ascii="Times New Roman" w:hAnsi="Times New Roman"/>
          <w:bCs/>
          <w:sz w:val="28"/>
          <w:szCs w:val="28"/>
        </w:rPr>
        <w:t xml:space="preserve">про внесення змін до деяких законодавчих актів щодо ефективності використання коштів соціального </w:t>
      </w:r>
      <w:r w:rsidRPr="006D54C8" w:rsidR="00FC12DB">
        <w:rPr>
          <w:rFonts w:ascii="Times New Roman" w:hAnsi="Times New Roman"/>
          <w:bCs/>
          <w:sz w:val="28"/>
          <w:szCs w:val="28"/>
        </w:rPr>
        <w:t>страхування</w:t>
      </w:r>
      <w:r w:rsidRPr="006D54C8">
        <w:rPr>
          <w:rFonts w:ascii="Times New Roman" w:hAnsi="Times New Roman"/>
          <w:bCs/>
          <w:sz w:val="28"/>
          <w:szCs w:val="28"/>
        </w:rPr>
        <w:t xml:space="preserve"> </w:t>
      </w:r>
      <w:r w:rsidRPr="006D54C8" w:rsidR="00DE46A1">
        <w:rPr>
          <w:rFonts w:ascii="Times New Roman" w:hAnsi="Times New Roman"/>
          <w:bCs/>
          <w:sz w:val="28"/>
          <w:szCs w:val="28"/>
        </w:rPr>
        <w:t>дозволить</w:t>
      </w:r>
      <w:r w:rsidRPr="006D54C8" w:rsidR="00776EAE">
        <w:rPr>
          <w:rFonts w:ascii="Times New Roman" w:hAnsi="Times New Roman"/>
          <w:bCs/>
          <w:sz w:val="28"/>
          <w:szCs w:val="28"/>
        </w:rPr>
        <w:t xml:space="preserve"> забезпечити належний фінансовий контроль та аудит за використанням </w:t>
      </w:r>
      <w:r w:rsidRPr="006D54C8" w:rsidR="00724CF4">
        <w:rPr>
          <w:rFonts w:ascii="Times New Roman" w:hAnsi="Times New Roman"/>
          <w:bCs/>
          <w:sz w:val="28"/>
          <w:szCs w:val="28"/>
        </w:rPr>
        <w:t xml:space="preserve">коштів </w:t>
      </w:r>
      <w:r w:rsidRPr="006D54C8" w:rsidR="00776EAE">
        <w:rPr>
          <w:rFonts w:ascii="Times New Roman" w:hAnsi="Times New Roman"/>
          <w:bCs/>
          <w:sz w:val="28"/>
          <w:szCs w:val="28"/>
        </w:rPr>
        <w:t>фондами загальнообов’язкового державного соціального і пенсійного страхування.</w:t>
      </w:r>
    </w:p>
    <w:p w:rsidR="001064A2" w:rsidRPr="00CA252F" w:rsidP="005D498F">
      <w:pPr>
        <w:spacing w:after="12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252F" w:rsidR="00283FBD">
        <w:rPr>
          <w:rFonts w:ascii="Times New Roman" w:hAnsi="Times New Roman"/>
          <w:b/>
          <w:sz w:val="28"/>
          <w:szCs w:val="28"/>
        </w:rPr>
        <w:t>Народні</w:t>
      </w:r>
      <w:r w:rsidRPr="00CA252F" w:rsidR="005D498F">
        <w:rPr>
          <w:rFonts w:ascii="Times New Roman" w:hAnsi="Times New Roman"/>
          <w:b/>
          <w:sz w:val="28"/>
          <w:szCs w:val="28"/>
        </w:rPr>
        <w:t xml:space="preserve"> депутат</w:t>
      </w:r>
      <w:r w:rsidRPr="00CA252F" w:rsidR="00283FBD">
        <w:rPr>
          <w:rFonts w:ascii="Times New Roman" w:hAnsi="Times New Roman"/>
          <w:b/>
          <w:sz w:val="28"/>
          <w:szCs w:val="28"/>
        </w:rPr>
        <w:t>и</w:t>
      </w:r>
      <w:r w:rsidRPr="00CA252F" w:rsidR="006D54C8">
        <w:rPr>
          <w:rFonts w:ascii="Times New Roman" w:hAnsi="Times New Roman"/>
          <w:b/>
          <w:sz w:val="28"/>
          <w:szCs w:val="28"/>
        </w:rPr>
        <w:t xml:space="preserve"> України</w:t>
      </w:r>
      <w:r w:rsidRPr="00CA252F" w:rsidR="006D54C8">
        <w:rPr>
          <w:rFonts w:ascii="Times New Roman" w:hAnsi="Times New Roman"/>
          <w:sz w:val="28"/>
          <w:szCs w:val="28"/>
        </w:rPr>
        <w:tab/>
        <w:tab/>
        <w:tab/>
        <w:tab/>
      </w:r>
      <w:r w:rsidRPr="00CA252F">
        <w:rPr>
          <w:rFonts w:ascii="Times New Roman" w:hAnsi="Times New Roman"/>
          <w:b/>
          <w:bCs/>
          <w:color w:val="000000"/>
          <w:sz w:val="28"/>
          <w:szCs w:val="28"/>
        </w:rPr>
        <w:t>Г.М. Третьякова (посв. № 53)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252F">
        <w:rPr>
          <w:rFonts w:ascii="Times New Roman" w:hAnsi="Times New Roman"/>
          <w:b/>
          <w:bCs/>
          <w:color w:val="000000"/>
          <w:sz w:val="28"/>
          <w:szCs w:val="28"/>
        </w:rPr>
        <w:t>Ю.Ю. Арістов (посв. № 41)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252F">
        <w:rPr>
          <w:rFonts w:ascii="Times New Roman" w:hAnsi="Times New Roman"/>
          <w:b/>
          <w:bCs/>
          <w:color w:val="000000"/>
          <w:sz w:val="28"/>
          <w:szCs w:val="28"/>
        </w:rPr>
        <w:t xml:space="preserve">Д.О. Гетманцев (посв. № 20) 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М.Б. Радуцький (посв. № 18)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 xml:space="preserve">С.В. Бабак (посв. № 11) 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 xml:space="preserve">Д.А. Наталуха (посв. № 14) 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252F">
        <w:rPr>
          <w:rFonts w:ascii="Times New Roman" w:hAnsi="Times New Roman"/>
          <w:b/>
          <w:bCs/>
          <w:color w:val="000000"/>
          <w:sz w:val="28"/>
          <w:szCs w:val="28"/>
        </w:rPr>
        <w:t>О.М. Трухін (посв. № 255)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252F">
        <w:rPr>
          <w:rFonts w:ascii="Times New Roman" w:hAnsi="Times New Roman"/>
          <w:b/>
          <w:bCs/>
          <w:color w:val="000000"/>
          <w:sz w:val="28"/>
          <w:szCs w:val="28"/>
        </w:rPr>
        <w:t xml:space="preserve">В.О. Струневич (посв. № </w:t>
      </w:r>
      <w:r w:rsidRPr="00CA252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39</w:t>
      </w:r>
      <w:r w:rsidRPr="00CA252F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252F">
        <w:rPr>
          <w:rFonts w:ascii="Times New Roman" w:hAnsi="Times New Roman"/>
          <w:b/>
          <w:bCs/>
          <w:color w:val="000000"/>
          <w:sz w:val="28"/>
          <w:szCs w:val="28"/>
        </w:rPr>
        <w:t>О.О. Арсенюк (посв. №</w:t>
      </w:r>
      <w:r w:rsidRPr="00CA252F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396</w:t>
      </w:r>
      <w:r w:rsidRPr="00CA252F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252F">
        <w:rPr>
          <w:rFonts w:ascii="Times New Roman" w:hAnsi="Times New Roman"/>
          <w:b/>
          <w:bCs/>
          <w:color w:val="000000"/>
          <w:sz w:val="28"/>
          <w:szCs w:val="28"/>
        </w:rPr>
        <w:t xml:space="preserve">С.Д. Гривко (посв. № 110) 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А.Д. Остапенко  (посв. № 425)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color w:val="000000"/>
          <w:sz w:val="28"/>
          <w:szCs w:val="28"/>
        </w:rPr>
        <w:t>О.С. Пасічний (посв</w:t>
      </w:r>
      <w:r w:rsidRPr="00CA252F">
        <w:rPr>
          <w:rFonts w:ascii="Times New Roman" w:hAnsi="Times New Roman"/>
          <w:b/>
          <w:bCs/>
          <w:sz w:val="28"/>
          <w:szCs w:val="28"/>
        </w:rPr>
        <w:t>. № 328)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А.А. Клочко (посв. №  80)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О.А. Качура (посв. № 48)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П.В. Фролов (посв. № 122)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П.В. Халімон (посв. №  54)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Є.В. Брагар (посв. №  74)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П.М. Сушко (посв. № 28)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В.А. Медяник (посв. № 242)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І.П. Фріс (посв. № 290)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В.І. Мокан (посв. № 99)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>О.О. Скічко (посв. № 398)</w:t>
      </w:r>
    </w:p>
    <w:p w:rsidR="00CA252F" w:rsidRPr="00CA252F" w:rsidP="00CA252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</w:rPr>
      </w:pPr>
      <w:r w:rsidRPr="00CA252F">
        <w:rPr>
          <w:rFonts w:ascii="Times New Roman" w:hAnsi="Times New Roman"/>
          <w:b/>
          <w:bCs/>
          <w:sz w:val="28"/>
          <w:szCs w:val="28"/>
        </w:rPr>
        <w:t xml:space="preserve">Ю.М. Гришина (посв. № 428)    </w:t>
      </w:r>
    </w:p>
    <w:p w:rsidR="006D54C8" w:rsidRPr="006D54C8" w:rsidP="00CA252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D498F" w:rsidRPr="00213BD8" w:rsidP="005D498F">
      <w:pPr>
        <w:pStyle w:val="Title"/>
        <w:ind w:firstLine="709"/>
        <w:jc w:val="both"/>
        <w:rPr>
          <w:b w:val="0"/>
        </w:rPr>
      </w:pPr>
    </w:p>
    <w:p w:rsidR="00D977B0" w:rsidRPr="00323184" w:rsidP="005D498F">
      <w:pPr>
        <w:spacing w:after="120" w:line="240" w:lineRule="auto"/>
        <w:ind w:firstLine="709"/>
        <w:rPr>
          <w:rFonts w:ascii="Times New Roman" w:hAnsi="Times New Roman"/>
          <w:sz w:val="27"/>
          <w:szCs w:val="27"/>
        </w:rPr>
      </w:pPr>
    </w:p>
    <w:sectPr w:rsidSect="003B3B3B">
      <w:headerReference w:type="default" r:id="rId6"/>
      <w:pgSz w:w="11906" w:h="16838" w:code="9"/>
      <w:pgMar w:top="1134" w:right="851" w:bottom="1418" w:left="1418" w:header="397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82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AF24FD">
      <w:rPr>
        <w:noProof/>
      </w:rPr>
      <w:t>3</w:t>
    </w:r>
    <w:r>
      <w:fldChar w:fldCharType="end"/>
    </w:r>
  </w:p>
  <w:p w:rsidR="00C0668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1C1"/>
    <w:rsid w:val="0000614A"/>
    <w:rsid w:val="0002418F"/>
    <w:rsid w:val="00025C20"/>
    <w:rsid w:val="0003416B"/>
    <w:rsid w:val="000407AC"/>
    <w:rsid w:val="0004532C"/>
    <w:rsid w:val="00046420"/>
    <w:rsid w:val="00050D8A"/>
    <w:rsid w:val="000518D0"/>
    <w:rsid w:val="0005332B"/>
    <w:rsid w:val="0005467C"/>
    <w:rsid w:val="00060CC9"/>
    <w:rsid w:val="0006784A"/>
    <w:rsid w:val="00074DDC"/>
    <w:rsid w:val="00081A4C"/>
    <w:rsid w:val="00081E7F"/>
    <w:rsid w:val="000A1D35"/>
    <w:rsid w:val="000A4764"/>
    <w:rsid w:val="000A641A"/>
    <w:rsid w:val="000D23F1"/>
    <w:rsid w:val="000D3317"/>
    <w:rsid w:val="000D4267"/>
    <w:rsid w:val="000D4893"/>
    <w:rsid w:val="000E2C44"/>
    <w:rsid w:val="000E30B7"/>
    <w:rsid w:val="000E69F0"/>
    <w:rsid w:val="000E7F9C"/>
    <w:rsid w:val="0010147A"/>
    <w:rsid w:val="001064A2"/>
    <w:rsid w:val="0011156C"/>
    <w:rsid w:val="0011790A"/>
    <w:rsid w:val="0012130F"/>
    <w:rsid w:val="00125985"/>
    <w:rsid w:val="00144ACC"/>
    <w:rsid w:val="0015019B"/>
    <w:rsid w:val="00166525"/>
    <w:rsid w:val="00166835"/>
    <w:rsid w:val="00196546"/>
    <w:rsid w:val="001965B4"/>
    <w:rsid w:val="001A04A4"/>
    <w:rsid w:val="001A474E"/>
    <w:rsid w:val="001C315D"/>
    <w:rsid w:val="001E42B0"/>
    <w:rsid w:val="001F18E1"/>
    <w:rsid w:val="001F18FE"/>
    <w:rsid w:val="00203627"/>
    <w:rsid w:val="0020785B"/>
    <w:rsid w:val="002121B8"/>
    <w:rsid w:val="00213BD8"/>
    <w:rsid w:val="00213F1E"/>
    <w:rsid w:val="00250905"/>
    <w:rsid w:val="00252048"/>
    <w:rsid w:val="0026144D"/>
    <w:rsid w:val="00261645"/>
    <w:rsid w:val="002638AB"/>
    <w:rsid w:val="00264F24"/>
    <w:rsid w:val="002741DF"/>
    <w:rsid w:val="00281F04"/>
    <w:rsid w:val="00283FBD"/>
    <w:rsid w:val="00285D49"/>
    <w:rsid w:val="002A34B0"/>
    <w:rsid w:val="002A3EEA"/>
    <w:rsid w:val="002A57A9"/>
    <w:rsid w:val="002A654C"/>
    <w:rsid w:val="002B0C01"/>
    <w:rsid w:val="002B7980"/>
    <w:rsid w:val="002C0B4C"/>
    <w:rsid w:val="002C646E"/>
    <w:rsid w:val="002D1042"/>
    <w:rsid w:val="002D46B9"/>
    <w:rsid w:val="002F45BF"/>
    <w:rsid w:val="00301279"/>
    <w:rsid w:val="00303194"/>
    <w:rsid w:val="003117BC"/>
    <w:rsid w:val="003164BC"/>
    <w:rsid w:val="00320FEB"/>
    <w:rsid w:val="00321A13"/>
    <w:rsid w:val="00323184"/>
    <w:rsid w:val="003300DA"/>
    <w:rsid w:val="003301EA"/>
    <w:rsid w:val="0033251F"/>
    <w:rsid w:val="0034330E"/>
    <w:rsid w:val="00344391"/>
    <w:rsid w:val="003450BA"/>
    <w:rsid w:val="00347379"/>
    <w:rsid w:val="00357923"/>
    <w:rsid w:val="0036143F"/>
    <w:rsid w:val="00365E18"/>
    <w:rsid w:val="0036607B"/>
    <w:rsid w:val="00367E99"/>
    <w:rsid w:val="003729E0"/>
    <w:rsid w:val="00383730"/>
    <w:rsid w:val="00383859"/>
    <w:rsid w:val="00386075"/>
    <w:rsid w:val="00390C0D"/>
    <w:rsid w:val="003930FA"/>
    <w:rsid w:val="003B0159"/>
    <w:rsid w:val="003B3B3B"/>
    <w:rsid w:val="003B5130"/>
    <w:rsid w:val="003C3F88"/>
    <w:rsid w:val="003C4733"/>
    <w:rsid w:val="003C51CA"/>
    <w:rsid w:val="003D2590"/>
    <w:rsid w:val="003E3501"/>
    <w:rsid w:val="003E40D0"/>
    <w:rsid w:val="003E7D48"/>
    <w:rsid w:val="003F0997"/>
    <w:rsid w:val="003F3D05"/>
    <w:rsid w:val="003F5D0F"/>
    <w:rsid w:val="004035EB"/>
    <w:rsid w:val="0042745E"/>
    <w:rsid w:val="00436F69"/>
    <w:rsid w:val="004435CC"/>
    <w:rsid w:val="004509A9"/>
    <w:rsid w:val="004522EA"/>
    <w:rsid w:val="00456D68"/>
    <w:rsid w:val="00462E59"/>
    <w:rsid w:val="00464348"/>
    <w:rsid w:val="00466DF4"/>
    <w:rsid w:val="00470EAD"/>
    <w:rsid w:val="00483BEC"/>
    <w:rsid w:val="00495F4D"/>
    <w:rsid w:val="004B7253"/>
    <w:rsid w:val="004D13EC"/>
    <w:rsid w:val="004D1DE7"/>
    <w:rsid w:val="004D211F"/>
    <w:rsid w:val="004D3428"/>
    <w:rsid w:val="004D6CF6"/>
    <w:rsid w:val="004F689E"/>
    <w:rsid w:val="004F7E48"/>
    <w:rsid w:val="0050275B"/>
    <w:rsid w:val="00505387"/>
    <w:rsid w:val="00513CF1"/>
    <w:rsid w:val="0051593E"/>
    <w:rsid w:val="00523D38"/>
    <w:rsid w:val="005240F9"/>
    <w:rsid w:val="0052578E"/>
    <w:rsid w:val="00546F5E"/>
    <w:rsid w:val="00560831"/>
    <w:rsid w:val="005719F2"/>
    <w:rsid w:val="00572C38"/>
    <w:rsid w:val="00573273"/>
    <w:rsid w:val="005740D2"/>
    <w:rsid w:val="00574933"/>
    <w:rsid w:val="00580AA2"/>
    <w:rsid w:val="00584A03"/>
    <w:rsid w:val="00590637"/>
    <w:rsid w:val="00595A9A"/>
    <w:rsid w:val="005A0AA4"/>
    <w:rsid w:val="005A6562"/>
    <w:rsid w:val="005A679C"/>
    <w:rsid w:val="005A6DA7"/>
    <w:rsid w:val="005C0AB2"/>
    <w:rsid w:val="005C45CD"/>
    <w:rsid w:val="005C78AB"/>
    <w:rsid w:val="005D498F"/>
    <w:rsid w:val="00606FAB"/>
    <w:rsid w:val="00615F98"/>
    <w:rsid w:val="0062206E"/>
    <w:rsid w:val="00623CCF"/>
    <w:rsid w:val="006369A4"/>
    <w:rsid w:val="00642E2A"/>
    <w:rsid w:val="00651673"/>
    <w:rsid w:val="006531C1"/>
    <w:rsid w:val="00653403"/>
    <w:rsid w:val="00653F5B"/>
    <w:rsid w:val="006568DC"/>
    <w:rsid w:val="006602CD"/>
    <w:rsid w:val="006643AD"/>
    <w:rsid w:val="0066558E"/>
    <w:rsid w:val="00672C1D"/>
    <w:rsid w:val="00677F0D"/>
    <w:rsid w:val="00680F22"/>
    <w:rsid w:val="00691D4B"/>
    <w:rsid w:val="006927B1"/>
    <w:rsid w:val="006A68BA"/>
    <w:rsid w:val="006B09EE"/>
    <w:rsid w:val="006B1C94"/>
    <w:rsid w:val="006B3382"/>
    <w:rsid w:val="006B36B1"/>
    <w:rsid w:val="006C301D"/>
    <w:rsid w:val="006D4FD1"/>
    <w:rsid w:val="006D54C8"/>
    <w:rsid w:val="00704658"/>
    <w:rsid w:val="00704B2B"/>
    <w:rsid w:val="00706F46"/>
    <w:rsid w:val="007134DD"/>
    <w:rsid w:val="00714D7A"/>
    <w:rsid w:val="00720988"/>
    <w:rsid w:val="00724CF4"/>
    <w:rsid w:val="00743A04"/>
    <w:rsid w:val="00744D0D"/>
    <w:rsid w:val="00755437"/>
    <w:rsid w:val="007722C8"/>
    <w:rsid w:val="00776EAE"/>
    <w:rsid w:val="00780B55"/>
    <w:rsid w:val="007874DA"/>
    <w:rsid w:val="00787E4D"/>
    <w:rsid w:val="007A2EE5"/>
    <w:rsid w:val="007B0175"/>
    <w:rsid w:val="007B55C8"/>
    <w:rsid w:val="007C08EC"/>
    <w:rsid w:val="007D08D1"/>
    <w:rsid w:val="007D535C"/>
    <w:rsid w:val="007D7233"/>
    <w:rsid w:val="007F45CE"/>
    <w:rsid w:val="007F63CB"/>
    <w:rsid w:val="007F6DB9"/>
    <w:rsid w:val="00821ED3"/>
    <w:rsid w:val="00825675"/>
    <w:rsid w:val="0083655A"/>
    <w:rsid w:val="00836DF5"/>
    <w:rsid w:val="00844D09"/>
    <w:rsid w:val="00850898"/>
    <w:rsid w:val="00850ADF"/>
    <w:rsid w:val="00866F8F"/>
    <w:rsid w:val="008A3C55"/>
    <w:rsid w:val="008A6E5F"/>
    <w:rsid w:val="008B54FD"/>
    <w:rsid w:val="008C5ECE"/>
    <w:rsid w:val="008D0258"/>
    <w:rsid w:val="008D7B03"/>
    <w:rsid w:val="008E556F"/>
    <w:rsid w:val="008E72F9"/>
    <w:rsid w:val="008F09C0"/>
    <w:rsid w:val="008F5C3C"/>
    <w:rsid w:val="008F5F84"/>
    <w:rsid w:val="008F67A2"/>
    <w:rsid w:val="00905405"/>
    <w:rsid w:val="00905DD2"/>
    <w:rsid w:val="00911FC7"/>
    <w:rsid w:val="0091307D"/>
    <w:rsid w:val="00920303"/>
    <w:rsid w:val="00923024"/>
    <w:rsid w:val="00925FCD"/>
    <w:rsid w:val="00935851"/>
    <w:rsid w:val="00941A39"/>
    <w:rsid w:val="00944BCC"/>
    <w:rsid w:val="00955833"/>
    <w:rsid w:val="00966402"/>
    <w:rsid w:val="009777F0"/>
    <w:rsid w:val="009815D8"/>
    <w:rsid w:val="009A20D3"/>
    <w:rsid w:val="009A4298"/>
    <w:rsid w:val="009B157F"/>
    <w:rsid w:val="009B4126"/>
    <w:rsid w:val="009C40AC"/>
    <w:rsid w:val="009C60FA"/>
    <w:rsid w:val="009C633C"/>
    <w:rsid w:val="009D6427"/>
    <w:rsid w:val="009E01B5"/>
    <w:rsid w:val="009E50ED"/>
    <w:rsid w:val="009E5BA2"/>
    <w:rsid w:val="009F08BF"/>
    <w:rsid w:val="00A22FBC"/>
    <w:rsid w:val="00A34161"/>
    <w:rsid w:val="00A46C86"/>
    <w:rsid w:val="00A546A7"/>
    <w:rsid w:val="00A803A1"/>
    <w:rsid w:val="00A81F02"/>
    <w:rsid w:val="00A82738"/>
    <w:rsid w:val="00A84425"/>
    <w:rsid w:val="00A867CA"/>
    <w:rsid w:val="00A91CBD"/>
    <w:rsid w:val="00AA25E1"/>
    <w:rsid w:val="00AA2E34"/>
    <w:rsid w:val="00AB22C5"/>
    <w:rsid w:val="00AB262B"/>
    <w:rsid w:val="00AC34C0"/>
    <w:rsid w:val="00AD01A6"/>
    <w:rsid w:val="00AD565D"/>
    <w:rsid w:val="00AF24FD"/>
    <w:rsid w:val="00AF6302"/>
    <w:rsid w:val="00AF77CB"/>
    <w:rsid w:val="00B007C1"/>
    <w:rsid w:val="00B04D07"/>
    <w:rsid w:val="00B06253"/>
    <w:rsid w:val="00B1061E"/>
    <w:rsid w:val="00B14EF9"/>
    <w:rsid w:val="00B15FA4"/>
    <w:rsid w:val="00B26DDF"/>
    <w:rsid w:val="00B27E90"/>
    <w:rsid w:val="00B3098E"/>
    <w:rsid w:val="00B3465B"/>
    <w:rsid w:val="00B47538"/>
    <w:rsid w:val="00B52C10"/>
    <w:rsid w:val="00B60C65"/>
    <w:rsid w:val="00B612DE"/>
    <w:rsid w:val="00B630D0"/>
    <w:rsid w:val="00B70888"/>
    <w:rsid w:val="00B7097D"/>
    <w:rsid w:val="00B72D62"/>
    <w:rsid w:val="00B814AA"/>
    <w:rsid w:val="00B85158"/>
    <w:rsid w:val="00B8558B"/>
    <w:rsid w:val="00B912B0"/>
    <w:rsid w:val="00BA2D26"/>
    <w:rsid w:val="00BB18D7"/>
    <w:rsid w:val="00BB517C"/>
    <w:rsid w:val="00BB78FA"/>
    <w:rsid w:val="00BC383B"/>
    <w:rsid w:val="00BD1932"/>
    <w:rsid w:val="00BD40F4"/>
    <w:rsid w:val="00BE1825"/>
    <w:rsid w:val="00BE3AC1"/>
    <w:rsid w:val="00BE5D65"/>
    <w:rsid w:val="00BF5C9F"/>
    <w:rsid w:val="00C00892"/>
    <w:rsid w:val="00C04B94"/>
    <w:rsid w:val="00C05CD7"/>
    <w:rsid w:val="00C06572"/>
    <w:rsid w:val="00C06682"/>
    <w:rsid w:val="00C10657"/>
    <w:rsid w:val="00C11A15"/>
    <w:rsid w:val="00C13D69"/>
    <w:rsid w:val="00C14B22"/>
    <w:rsid w:val="00C20B37"/>
    <w:rsid w:val="00C217E7"/>
    <w:rsid w:val="00C34AAA"/>
    <w:rsid w:val="00C41DCF"/>
    <w:rsid w:val="00C50FC6"/>
    <w:rsid w:val="00C53A39"/>
    <w:rsid w:val="00C668E9"/>
    <w:rsid w:val="00C677A0"/>
    <w:rsid w:val="00C67C0B"/>
    <w:rsid w:val="00C70607"/>
    <w:rsid w:val="00C805BE"/>
    <w:rsid w:val="00C85768"/>
    <w:rsid w:val="00C86EC9"/>
    <w:rsid w:val="00C879CC"/>
    <w:rsid w:val="00CA1F52"/>
    <w:rsid w:val="00CA252F"/>
    <w:rsid w:val="00CA3A33"/>
    <w:rsid w:val="00CB1456"/>
    <w:rsid w:val="00CD6108"/>
    <w:rsid w:val="00CD66D0"/>
    <w:rsid w:val="00CD75F1"/>
    <w:rsid w:val="00CE4D41"/>
    <w:rsid w:val="00CF7FA5"/>
    <w:rsid w:val="00D0229E"/>
    <w:rsid w:val="00D0712A"/>
    <w:rsid w:val="00D07A11"/>
    <w:rsid w:val="00D120BD"/>
    <w:rsid w:val="00D163D4"/>
    <w:rsid w:val="00D20559"/>
    <w:rsid w:val="00D224DC"/>
    <w:rsid w:val="00D228AF"/>
    <w:rsid w:val="00D3244D"/>
    <w:rsid w:val="00D379F5"/>
    <w:rsid w:val="00D37FB0"/>
    <w:rsid w:val="00D44D19"/>
    <w:rsid w:val="00D4580C"/>
    <w:rsid w:val="00D4742A"/>
    <w:rsid w:val="00D506E2"/>
    <w:rsid w:val="00D50AE8"/>
    <w:rsid w:val="00D55250"/>
    <w:rsid w:val="00D70A9A"/>
    <w:rsid w:val="00D744DB"/>
    <w:rsid w:val="00D75D5D"/>
    <w:rsid w:val="00D915AD"/>
    <w:rsid w:val="00D957C7"/>
    <w:rsid w:val="00D977B0"/>
    <w:rsid w:val="00D97B1B"/>
    <w:rsid w:val="00DA0BF0"/>
    <w:rsid w:val="00DA1E2D"/>
    <w:rsid w:val="00DA7473"/>
    <w:rsid w:val="00DA7763"/>
    <w:rsid w:val="00DB086E"/>
    <w:rsid w:val="00DC61EC"/>
    <w:rsid w:val="00DD2E26"/>
    <w:rsid w:val="00DD5CDE"/>
    <w:rsid w:val="00DD6276"/>
    <w:rsid w:val="00DD6854"/>
    <w:rsid w:val="00DD6E67"/>
    <w:rsid w:val="00DE03C6"/>
    <w:rsid w:val="00DE0874"/>
    <w:rsid w:val="00DE3759"/>
    <w:rsid w:val="00DE46A1"/>
    <w:rsid w:val="00DF42C0"/>
    <w:rsid w:val="00E060AE"/>
    <w:rsid w:val="00E063E6"/>
    <w:rsid w:val="00E14213"/>
    <w:rsid w:val="00E21F86"/>
    <w:rsid w:val="00E23673"/>
    <w:rsid w:val="00E359CF"/>
    <w:rsid w:val="00E40B8E"/>
    <w:rsid w:val="00E46231"/>
    <w:rsid w:val="00E475C5"/>
    <w:rsid w:val="00E5464E"/>
    <w:rsid w:val="00E5532F"/>
    <w:rsid w:val="00E60719"/>
    <w:rsid w:val="00E6305F"/>
    <w:rsid w:val="00E6580E"/>
    <w:rsid w:val="00E716BB"/>
    <w:rsid w:val="00E74B75"/>
    <w:rsid w:val="00E76151"/>
    <w:rsid w:val="00E77104"/>
    <w:rsid w:val="00E855D8"/>
    <w:rsid w:val="00E96ED7"/>
    <w:rsid w:val="00E97709"/>
    <w:rsid w:val="00EA0C67"/>
    <w:rsid w:val="00EA4384"/>
    <w:rsid w:val="00EC0756"/>
    <w:rsid w:val="00EC08BF"/>
    <w:rsid w:val="00EC3E7E"/>
    <w:rsid w:val="00EC3FBB"/>
    <w:rsid w:val="00ED3382"/>
    <w:rsid w:val="00ED3FB7"/>
    <w:rsid w:val="00EF207E"/>
    <w:rsid w:val="00F01455"/>
    <w:rsid w:val="00F04BE0"/>
    <w:rsid w:val="00F1680E"/>
    <w:rsid w:val="00F232FB"/>
    <w:rsid w:val="00F24D61"/>
    <w:rsid w:val="00F278FE"/>
    <w:rsid w:val="00F309E5"/>
    <w:rsid w:val="00F34168"/>
    <w:rsid w:val="00F36771"/>
    <w:rsid w:val="00F36790"/>
    <w:rsid w:val="00F416E6"/>
    <w:rsid w:val="00F64AD6"/>
    <w:rsid w:val="00F73879"/>
    <w:rsid w:val="00F872C1"/>
    <w:rsid w:val="00F9379C"/>
    <w:rsid w:val="00F9418D"/>
    <w:rsid w:val="00FA0E93"/>
    <w:rsid w:val="00FA43F0"/>
    <w:rsid w:val="00FA4DCB"/>
    <w:rsid w:val="00FB1947"/>
    <w:rsid w:val="00FB546B"/>
    <w:rsid w:val="00FB694A"/>
    <w:rsid w:val="00FB6E98"/>
    <w:rsid w:val="00FC12DB"/>
    <w:rsid w:val="00FC1B56"/>
    <w:rsid w:val="00FC1EBC"/>
    <w:rsid w:val="00FC238A"/>
    <w:rsid w:val="00FC3C68"/>
    <w:rsid w:val="00FC7243"/>
    <w:rsid w:val="00FD4CA5"/>
    <w:rsid w:val="00FE3B9D"/>
    <w:rsid w:val="00FE61D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ontemporary" w:semiHidden="0" w:unhideWhenUsed="0"/>
    <w:lsdException w:name="Table Elegant" w:semiHidden="0" w:unhideWhenUsed="0"/>
    <w:lsdException w:name="Table Professional" w:semiHidden="0" w:unhideWhenUsed="0"/>
    <w:lsdException w:name="Table Subtle 1" w:semiHidden="0" w:unhideWhenUsed="0"/>
    <w:lsdException w:name="Table Subtle 2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573273"/>
    <w:pPr>
      <w:spacing w:after="200" w:line="276" w:lineRule="auto"/>
    </w:pPr>
    <w:rPr>
      <w:rFonts w:cs="Times New Roman"/>
      <w:sz w:val="22"/>
      <w:szCs w:val="22"/>
      <w:lang w:val="uk-UA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664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ій колонтитул Знак"/>
    <w:link w:val="Header"/>
    <w:uiPriority w:val="99"/>
    <w:locked/>
    <w:rsid w:val="006643AD"/>
    <w:rPr>
      <w:rFonts w:cs="Times New Roman"/>
      <w:lang w:val="uk-UA" w:eastAsia="x-none"/>
    </w:rPr>
  </w:style>
  <w:style w:type="paragraph" w:styleId="Footer">
    <w:name w:val="footer"/>
    <w:basedOn w:val="Normal"/>
    <w:link w:val="a0"/>
    <w:uiPriority w:val="99"/>
    <w:unhideWhenUsed/>
    <w:rsid w:val="00664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ій колонтитул Знак"/>
    <w:link w:val="Footer"/>
    <w:uiPriority w:val="99"/>
    <w:locked/>
    <w:rsid w:val="006643AD"/>
    <w:rPr>
      <w:rFonts w:cs="Times New Roman"/>
      <w:lang w:val="uk-UA" w:eastAsia="x-none"/>
    </w:rPr>
  </w:style>
  <w:style w:type="character" w:customStyle="1" w:styleId="rvts23">
    <w:name w:val="rvts23"/>
    <w:rsid w:val="00920303"/>
    <w:rPr>
      <w:rFonts w:cs="Times New Roman"/>
    </w:rPr>
  </w:style>
  <w:style w:type="paragraph" w:styleId="BalloonText">
    <w:name w:val="Balloon Text"/>
    <w:basedOn w:val="Normal"/>
    <w:link w:val="a1"/>
    <w:uiPriority w:val="99"/>
    <w:semiHidden/>
    <w:unhideWhenUsed/>
    <w:rsid w:val="00D3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">
    <w:name w:val="Текст у виносці Знак"/>
    <w:link w:val="BalloonText"/>
    <w:uiPriority w:val="99"/>
    <w:semiHidden/>
    <w:locked/>
    <w:rsid w:val="00D379F5"/>
    <w:rPr>
      <w:rFonts w:ascii="Tahoma" w:hAnsi="Tahoma" w:cs="Tahoma"/>
      <w:sz w:val="16"/>
      <w:szCs w:val="16"/>
      <w:lang w:val="uk-UA" w:eastAsia="x-none"/>
    </w:rPr>
  </w:style>
  <w:style w:type="paragraph" w:customStyle="1" w:styleId="Default">
    <w:name w:val="Default"/>
    <w:rsid w:val="00EC3FB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uk-UA" w:eastAsia="en-US" w:bidi="ar-SA"/>
    </w:rPr>
  </w:style>
  <w:style w:type="paragraph" w:styleId="BodyText">
    <w:name w:val="Body Text"/>
    <w:basedOn w:val="Normal"/>
    <w:link w:val="a2"/>
    <w:uiPriority w:val="99"/>
    <w:rsid w:val="00CA3A33"/>
    <w:pPr>
      <w:widowControl w:val="0"/>
      <w:autoSpaceDE w:val="0"/>
      <w:autoSpaceDN w:val="0"/>
      <w:spacing w:after="0" w:line="240" w:lineRule="auto"/>
      <w:ind w:right="5216"/>
      <w:jc w:val="both"/>
    </w:pPr>
    <w:rPr>
      <w:rFonts w:ascii="Times New Roman" w:hAnsi="Times New Roman"/>
      <w:sz w:val="28"/>
      <w:szCs w:val="20"/>
    </w:rPr>
  </w:style>
  <w:style w:type="character" w:customStyle="1" w:styleId="a2">
    <w:name w:val="Основний текст Знак"/>
    <w:link w:val="BodyText"/>
    <w:uiPriority w:val="99"/>
    <w:locked/>
    <w:rsid w:val="00CA3A33"/>
    <w:rPr>
      <w:rFonts w:ascii="Times New Roman" w:hAnsi="Times New Roman" w:cs="Times New Roman"/>
      <w:sz w:val="20"/>
      <w:szCs w:val="20"/>
      <w:lang w:val="uk-UA" w:eastAsia="x-none"/>
    </w:rPr>
  </w:style>
  <w:style w:type="character" w:customStyle="1" w:styleId="rvts9">
    <w:name w:val="rvts9"/>
    <w:rsid w:val="00E96ED7"/>
  </w:style>
  <w:style w:type="character" w:customStyle="1" w:styleId="rvts37">
    <w:name w:val="rvts37"/>
    <w:rsid w:val="00E96ED7"/>
  </w:style>
  <w:style w:type="paragraph" w:styleId="Title">
    <w:name w:val="Title"/>
    <w:basedOn w:val="Normal"/>
    <w:link w:val="a3"/>
    <w:uiPriority w:val="99"/>
    <w:qFormat/>
    <w:rsid w:val="005D498F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3">
    <w:name w:val="Назва Знак"/>
    <w:link w:val="Title"/>
    <w:uiPriority w:val="99"/>
    <w:locked/>
    <w:rsid w:val="005D498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StyleZakonu">
    <w:name w:val="StyleZakonu"/>
    <w:basedOn w:val="Normal"/>
    <w:rsid w:val="000D23F1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F34168"/>
    <w:pPr>
      <w:ind w:left="720"/>
      <w:contextualSpacing/>
    </w:pPr>
  </w:style>
  <w:style w:type="character" w:styleId="Hyperlink">
    <w:name w:val="Hyperlink"/>
    <w:uiPriority w:val="99"/>
    <w:unhideWhenUsed/>
    <w:rsid w:val="00C14B2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s://zakon.rada.gov.ua/laws/show/16/98-%D0%B2%D1%80" TargetMode="External" /><Relationship Id="rId6" Type="http://schemas.openxmlformats.org/officeDocument/2006/relationships/header" Target="header1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637CE-54F6-4902-82A4-518296DAF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2894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tretiakova</dc:creator>
  <cp:lastModifiedBy>Третьякова Галина Миколаївна</cp:lastModifiedBy>
  <cp:revision>2</cp:revision>
  <cp:lastPrinted>2019-12-20T11:46:00Z</cp:lastPrinted>
  <dcterms:created xsi:type="dcterms:W3CDTF">2020-01-15T13:40:00Z</dcterms:created>
  <dcterms:modified xsi:type="dcterms:W3CDTF">2020-01-15T13:40:00Z</dcterms:modified>
</cp:coreProperties>
</file>