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2C628B" w:rsidRPr="00CB3D97" w:rsidP="009B23CD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  <w:lang w:val="uk-UA"/>
        </w:rPr>
      </w:pP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ПОРІВНЯЛЬНА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ТАБЛИЦЯ</w:t>
      </w:r>
    </w:p>
    <w:p w:rsidR="0013061E" w:rsidRPr="00CB3D97" w:rsidP="009B23CD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center"/>
        <w:rPr>
          <w:rFonts w:cs="TimesNewRomanPSMT"/>
          <w:b/>
          <w:bCs/>
          <w:sz w:val="28"/>
          <w:szCs w:val="28"/>
          <w:lang w:val="uk-UA"/>
        </w:rPr>
      </w:pP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до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про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є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кту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Закон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у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України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п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ро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внесення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521C49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змін</w:t>
      </w:r>
      <w:r w:rsidRPr="00CB3D97" w:rsidR="0084334E">
        <w:rPr>
          <w:rFonts w:ascii="TimesNewRomanPSMT" w:hAnsi="TimesNewRomanPSMT" w:cs="TimesNewRomanPSMT"/>
          <w:b/>
          <w:bCs/>
          <w:sz w:val="28"/>
          <w:szCs w:val="28"/>
          <w:lang w:val="uk-UA"/>
        </w:rPr>
        <w:t xml:space="preserve"> </w:t>
      </w:r>
      <w:r w:rsidRPr="00CB3D97" w:rsidR="0084334E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до</w:t>
      </w:r>
      <w:r w:rsidRPr="00CB3D97" w:rsidR="0084334E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84334E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Закону</w:t>
      </w:r>
      <w:r w:rsidRPr="00CB3D97" w:rsidR="0084334E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84334E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України</w:t>
      </w:r>
      <w:r w:rsidRPr="00CB3D97">
        <w:rPr>
          <w:rFonts w:ascii="TimesNewRomanPSMT" w:hAnsi="TimesNewRomanPSMT" w:cs="TimesNewRomanPSMT"/>
          <w:b/>
          <w:bCs/>
          <w:sz w:val="28"/>
          <w:szCs w:val="28"/>
          <w:lang w:val="uk-UA"/>
        </w:rPr>
        <w:t xml:space="preserve"> </w:t>
      </w:r>
    </w:p>
    <w:p w:rsidR="00521C49" w:rsidRPr="00CB3D97" w:rsidP="009B23CD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center"/>
        <w:rPr>
          <w:rFonts w:cs="TimesNewRomanPSMT"/>
          <w:b/>
          <w:bCs/>
          <w:sz w:val="28"/>
          <w:szCs w:val="28"/>
          <w:lang w:val="uk-UA"/>
        </w:rPr>
      </w:pP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«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Про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загальнообов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’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язкове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державне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пенсійне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страхування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»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щодо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забезпечення</w:t>
      </w:r>
      <w:r w:rsidRPr="00CB3D97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справедливими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пенсіями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осіб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,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які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працювали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на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підставі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членства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в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>колгоспах</w:t>
      </w:r>
      <w:r w:rsidRPr="00CB3D97" w:rsidR="009B23CD">
        <w:rPr>
          <w:rFonts w:ascii="TimesNewRomanPSMT" w:hAnsi="TimesNewRomanPSMT" w:cs="TimesNewRomanPSMT" w:hint="default"/>
          <w:b/>
          <w:bCs/>
          <w:sz w:val="28"/>
          <w:szCs w:val="28"/>
          <w:lang w:val="uk-UA"/>
        </w:rPr>
        <w:t xml:space="preserve"> </w:t>
      </w:r>
    </w:p>
    <w:p w:rsidR="0013061E" w:rsidRPr="00CB3D97" w:rsidP="009B23CD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center"/>
        <w:rPr>
          <w:rFonts w:cs="TimesNewRomanPSMT"/>
          <w:b/>
          <w:bCs/>
          <w:sz w:val="28"/>
          <w:szCs w:val="28"/>
          <w:lang w:val="uk-UA"/>
        </w:rPr>
      </w:pPr>
    </w:p>
    <w:tbl>
      <w:tblPr>
        <w:tblStyle w:val="TableGrid"/>
        <w:tblW w:w="13608" w:type="dxa"/>
        <w:tblInd w:w="817" w:type="dxa"/>
        <w:tblLayout w:type="fixed"/>
        <w:tblLook w:val="04A0"/>
      </w:tblPr>
      <w:tblGrid>
        <w:gridCol w:w="6804"/>
        <w:gridCol w:w="6804"/>
      </w:tblGrid>
      <w:tr>
        <w:tblPrEx>
          <w:tblW w:w="13608" w:type="dxa"/>
          <w:tblInd w:w="817" w:type="dxa"/>
          <w:tblLayout w:type="fixed"/>
          <w:tblLook w:val="04A0"/>
        </w:tblPrEx>
        <w:trPr>
          <w:trHeight w:val="63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C628B" w:rsidRPr="00CB3D97" w:rsidP="00CB3D97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left="175" w:firstLine="567"/>
              <w:jc w:val="center"/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</w:pP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Зміст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положення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(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норми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) 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чинного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законодавства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C628B" w:rsidRPr="00CB3D97" w:rsidP="00CB3D97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567"/>
              <w:jc w:val="center"/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</w:pP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Зміст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відпо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відного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положення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(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норми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) 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проекту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акта</w:t>
            </w:r>
          </w:p>
        </w:tc>
      </w:tr>
      <w:tr>
        <w:tblPrEx>
          <w:tblW w:w="13608" w:type="dxa"/>
          <w:tblInd w:w="817" w:type="dxa"/>
          <w:tblLayout w:type="fixed"/>
          <w:tblLook w:val="04A0"/>
        </w:tblPrEx>
        <w:trPr>
          <w:trHeight w:val="325"/>
        </w:trPr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C628B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CB3D97" w:rsidR="00B06BB6">
              <w:rPr>
                <w:rFonts w:ascii="Times New Roman" w:hAnsi="Times New Roman" w:hint="default"/>
                <w:b/>
                <w:bCs/>
                <w:sz w:val="28"/>
                <w:szCs w:val="28"/>
                <w:lang w:val="uk-UA"/>
              </w:rPr>
              <w:t>Закон</w:t>
            </w:r>
            <w:r w:rsidRPr="00CB3D97" w:rsidR="00B06BB6">
              <w:rPr>
                <w:rFonts w:ascii="Times New Roman" w:hAnsi="Times New Roman" w:hint="default"/>
                <w:b/>
                <w:bCs/>
                <w:sz w:val="28"/>
                <w:szCs w:val="28"/>
                <w:lang w:val="uk-UA"/>
              </w:rPr>
              <w:t xml:space="preserve"> України</w:t>
            </w:r>
            <w:r w:rsidRPr="00CB3D97" w:rsidR="00B06BB6">
              <w:rPr>
                <w:rFonts w:ascii="Times New Roman" w:hAnsi="Times New Roman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 w:rsidR="00B06BB6">
              <w:rPr>
                <w:rFonts w:ascii="Times New Roman" w:hAnsi="Times New Roman" w:hint="default"/>
                <w:b/>
                <w:bCs/>
                <w:sz w:val="28"/>
                <w:szCs w:val="28"/>
                <w:lang w:val="uk-UA"/>
              </w:rPr>
              <w:t>«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Про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загальнообов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’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язкове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державне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пенсійне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B3D97" w:rsidR="00521C49">
              <w:rPr>
                <w:rFonts w:ascii="TimesNewRomanPSMT" w:hAnsi="TimesNewRomanPSMT" w:cs="TimesNewRomanPSMT" w:hint="default"/>
                <w:b/>
                <w:bCs/>
                <w:sz w:val="28"/>
                <w:szCs w:val="28"/>
                <w:lang w:val="uk-UA"/>
              </w:rPr>
              <w:t>страхування</w:t>
            </w:r>
            <w:r w:rsidRPr="00CB3D97" w:rsidR="00B06BB6">
              <w:rPr>
                <w:rFonts w:ascii="Times New Roman" w:hAnsi="Times New Roman" w:hint="default"/>
                <w:b/>
                <w:bCs/>
                <w:sz w:val="28"/>
                <w:szCs w:val="28"/>
                <w:lang w:val="uk-UA"/>
              </w:rPr>
              <w:t>»</w:t>
            </w:r>
          </w:p>
        </w:tc>
      </w:tr>
      <w:tr>
        <w:tblPrEx>
          <w:tblW w:w="13608" w:type="dxa"/>
          <w:tblInd w:w="817" w:type="dxa"/>
          <w:tblLayout w:type="fixed"/>
          <w:tblLook w:val="04A0"/>
        </w:tblPrEx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C628B" w:rsidRPr="00CB3D97" w:rsidP="009B23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bidi w:val="0"/>
              <w:adjustRightInd w:val="0"/>
              <w:spacing w:after="0" w:line="240" w:lineRule="auto"/>
              <w:ind w:firstLine="567"/>
              <w:jc w:val="both"/>
              <w:rPr>
                <w:rFonts w:ascii="TimesNewRomanPSMT" w:hAnsi="TimesNewRomanPSMT" w:cs="TimesNewRomanPSMT"/>
                <w:sz w:val="28"/>
                <w:szCs w:val="28"/>
                <w:lang w:val="uk-UA"/>
              </w:rPr>
            </w:pPr>
            <w:r w:rsidRPr="00CB3D97">
              <w:rPr>
                <w:rFonts w:ascii="TimesNewRomanPSMT" w:hAnsi="TimesNewRomanPSMT" w:cs="TimesNewRomanPSMT"/>
                <w:sz w:val="28"/>
                <w:szCs w:val="28"/>
                <w:lang w:val="uk-UA"/>
              </w:rPr>
              <w:t xml:space="preserve"> </w:t>
            </w:r>
            <w:r w:rsidRPr="00CB3D97" w:rsidR="00521C49">
              <w:rPr>
                <w:rFonts w:ascii="TimesNewRomanPSMT" w:hAnsi="TimesNewRomanPSMT" w:cs="TimesNewRomanPSMT" w:hint="default"/>
                <w:b/>
                <w:sz w:val="28"/>
                <w:szCs w:val="28"/>
                <w:lang w:val="uk-UA"/>
              </w:rPr>
              <w:t>Стаття</w:t>
            </w:r>
            <w:r w:rsidRPr="00CB3D97" w:rsidR="00521C49">
              <w:rPr>
                <w:rFonts w:ascii="TimesNewRomanPSMT" w:hAnsi="TimesNewRomanPSMT" w:cs="TimesNewRomanPSMT" w:hint="default"/>
                <w:b/>
                <w:sz w:val="28"/>
                <w:szCs w:val="28"/>
                <w:lang w:val="uk-UA"/>
              </w:rPr>
              <w:t xml:space="preserve"> 25. 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>Коефіцієнт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 xml:space="preserve"> 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>страхового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 xml:space="preserve"> 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>стажу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C628B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603"/>
              <w:jc w:val="both"/>
              <w:rPr>
                <w:rFonts w:ascii="TimesNewRomanPSMT" w:hAnsi="TimesNewRomanPSMT" w:cs="TimesNewRomanPSMT"/>
                <w:sz w:val="28"/>
                <w:szCs w:val="28"/>
                <w:lang w:val="uk-UA"/>
              </w:rPr>
            </w:pPr>
            <w:r w:rsidRPr="00CB3D97" w:rsidR="00521C49">
              <w:rPr>
                <w:rFonts w:ascii="TimesNewRomanPSMT" w:hAnsi="TimesNewRomanPSMT" w:cs="TimesNewRomanPSMT" w:hint="default"/>
                <w:b/>
                <w:sz w:val="28"/>
                <w:szCs w:val="28"/>
                <w:lang w:val="uk-UA"/>
              </w:rPr>
              <w:t>Стаття</w:t>
            </w:r>
            <w:r w:rsidRPr="00CB3D97" w:rsidR="00521C49">
              <w:rPr>
                <w:rFonts w:ascii="TimesNewRomanPSMT" w:hAnsi="TimesNewRomanPSMT" w:cs="TimesNewRomanPSMT" w:hint="default"/>
                <w:b/>
                <w:sz w:val="28"/>
                <w:szCs w:val="28"/>
                <w:lang w:val="uk-UA"/>
              </w:rPr>
              <w:t xml:space="preserve"> 25. 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>Коефіцієнт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 xml:space="preserve"> 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>страхового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 xml:space="preserve"> </w:t>
            </w:r>
            <w:r w:rsidRPr="00CB3D97" w:rsidR="00521C49">
              <w:rPr>
                <w:rFonts w:ascii="TimesNewRomanPSMT" w:hAnsi="TimesNewRomanPSMT" w:cs="TimesNewRomanPSMT" w:hint="default"/>
                <w:sz w:val="28"/>
                <w:szCs w:val="28"/>
                <w:lang w:val="uk-UA"/>
              </w:rPr>
              <w:t>стажу</w:t>
            </w:r>
          </w:p>
        </w:tc>
      </w:tr>
      <w:tr>
        <w:tblPrEx>
          <w:tblW w:w="13608" w:type="dxa"/>
          <w:tblInd w:w="817" w:type="dxa"/>
          <w:tblLayout w:type="fixed"/>
          <w:tblLook w:val="04A0"/>
        </w:tblPrEx>
        <w:trPr>
          <w:trHeight w:val="112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23CD" w:rsidRPr="00CB3D97" w:rsidP="009B23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142"/>
              <w:jc w:val="both"/>
              <w:rPr>
                <w:rFonts w:hint="default"/>
                <w:color w:val="000000"/>
                <w:sz w:val="28"/>
                <w:szCs w:val="28"/>
              </w:rPr>
            </w:pPr>
            <w:r w:rsidRPr="00CB3D97">
              <w:rPr>
                <w:rFonts w:hint="default"/>
                <w:color w:val="000000"/>
                <w:sz w:val="28"/>
                <w:szCs w:val="28"/>
              </w:rPr>
              <w:t>1. Коефіцієнт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, що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застосовується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для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обчислення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розміру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пенсії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, визначається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із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заокругленням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'яти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знаків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після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коми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формулою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:</w:t>
            </w:r>
          </w:p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rFonts w:cs="TimesNewRomanPSMT"/>
                <w:kern w:val="1"/>
                <w:sz w:val="28"/>
                <w:szCs w:val="28"/>
                <w:lang w:val="uk-UA"/>
              </w:rPr>
            </w:pPr>
            <w:bookmarkStart w:id="0" w:name="n2020"/>
            <w:bookmarkEnd w:id="0"/>
            <w:r w:rsidRPr="00CB3D97">
              <w:rPr>
                <w:rFonts w:cs="TimesNewRomanPSMT"/>
                <w:kern w:val="1"/>
                <w:sz w:val="28"/>
                <w:szCs w:val="28"/>
                <w:lang w:val="uk-UA"/>
              </w:rPr>
              <w:t xml:space="preserve">          </w:t>
            </w:r>
            <w:r>
              <w:rPr>
                <w:noProof/>
                <w:rtl w:val="0"/>
                <w:lang w:val="uk-UA"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i1025" type="#_x0000_t75" alt="http://zakon.rada.gov.ua/laws/file/imgs/32/p129651n2020.bmp" style="width:134.25pt;height:46.21pt;visibility:visible" filled="f" stroked="f">
                  <v:fill o:detectmouseclick="f"/>
                  <v:imagedata r:id="rId4" o:title=""/>
                  <o:lock v:ext="edit" aspectratio="t"/>
                </v:shape>
              </w:pict>
            </w:r>
          </w:p>
          <w:p w:rsidR="009B23CD" w:rsidRPr="00CB3D97" w:rsidP="009B23CD">
            <w:pPr>
              <w:pStyle w:val="rvps12"/>
              <w:shd w:val="clear" w:color="auto" w:fill="FFFFFF"/>
              <w:bidi w:val="0"/>
              <w:spacing w:before="0" w:beforeAutospacing="0" w:after="0" w:afterAutospacing="0"/>
              <w:ind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9B23CD" w:rsidRPr="00CB3D97" w:rsidP="009B23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142"/>
              <w:jc w:val="both"/>
              <w:rPr>
                <w:rFonts w:hint="default"/>
                <w:color w:val="000000"/>
                <w:sz w:val="28"/>
                <w:szCs w:val="28"/>
              </w:rPr>
            </w:pPr>
            <w:bookmarkStart w:id="1" w:name="n456"/>
            <w:bookmarkEnd w:id="1"/>
            <w:r w:rsidRPr="00CB3D97">
              <w:rPr>
                <w:rFonts w:hint="default"/>
                <w:color w:val="000000"/>
                <w:sz w:val="28"/>
                <w:szCs w:val="28"/>
              </w:rPr>
              <w:t>Кс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- 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коефіцієнт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;</w:t>
            </w:r>
          </w:p>
          <w:p w:rsidR="009B23CD" w:rsidRPr="00CB3D97" w:rsidP="009B23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142"/>
              <w:jc w:val="both"/>
              <w:rPr>
                <w:rFonts w:hint="default"/>
                <w:color w:val="000000"/>
                <w:sz w:val="28"/>
                <w:szCs w:val="28"/>
              </w:rPr>
            </w:pPr>
            <w:bookmarkStart w:id="2" w:name="n457"/>
            <w:bookmarkEnd w:id="2"/>
            <w:r w:rsidRPr="00CB3D97">
              <w:rPr>
                <w:rFonts w:hint="default"/>
                <w:color w:val="000000"/>
                <w:sz w:val="28"/>
                <w:szCs w:val="28"/>
              </w:rPr>
              <w:t>См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- сума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місяців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;</w:t>
            </w:r>
          </w:p>
          <w:p w:rsidR="009B23CD" w:rsidRPr="00CB3D97" w:rsidP="009B23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142"/>
              <w:jc w:val="both"/>
              <w:rPr>
                <w:rFonts w:hint="default"/>
                <w:color w:val="000000"/>
                <w:sz w:val="28"/>
                <w:szCs w:val="28"/>
              </w:rPr>
            </w:pPr>
            <w:bookmarkStart w:id="3" w:name="n458"/>
            <w:bookmarkEnd w:id="3"/>
            <w:r w:rsidRPr="00CB3D97">
              <w:rPr>
                <w:rFonts w:hint="default"/>
                <w:color w:val="000000"/>
                <w:sz w:val="28"/>
                <w:szCs w:val="28"/>
              </w:rPr>
              <w:t>Вс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- визначена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відповідно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цього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Закону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величина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оцінки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одного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року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(у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відсотках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). За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період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участі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системі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загальнообов’язкового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державного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пенсійного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рахування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величина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оцінки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одного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року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дорівнює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1%.</w:t>
            </w:r>
          </w:p>
          <w:p w:rsidR="002C628B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rFonts w:cs="TimesNewRomanPSMT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23CD" w:rsidRPr="00CB3D97" w:rsidP="009B23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142"/>
              <w:jc w:val="both"/>
              <w:rPr>
                <w:rFonts w:hint="default"/>
                <w:color w:val="000000"/>
                <w:sz w:val="28"/>
                <w:szCs w:val="28"/>
              </w:rPr>
            </w:pPr>
            <w:r w:rsidRPr="00CB3D97">
              <w:rPr>
                <w:rFonts w:hint="default"/>
                <w:color w:val="000000"/>
                <w:sz w:val="28"/>
                <w:szCs w:val="28"/>
              </w:rPr>
              <w:t>1. Коефіцієнт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, що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застосовується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для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обчислення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розміру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пенсії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, визначається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із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заокругленням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'яти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знаків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після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коми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формулою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:</w:t>
            </w:r>
          </w:p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rFonts w:cs="TimesNewRomanPSMT"/>
                <w:kern w:val="1"/>
                <w:sz w:val="28"/>
                <w:szCs w:val="28"/>
                <w:lang w:val="uk-UA"/>
              </w:rPr>
            </w:pPr>
            <w:r w:rsidRPr="00CB3D97">
              <w:rPr>
                <w:rFonts w:cs="TimesNewRomanPSMT"/>
                <w:kern w:val="1"/>
                <w:sz w:val="28"/>
                <w:szCs w:val="28"/>
                <w:lang w:val="uk-UA"/>
              </w:rPr>
              <w:t xml:space="preserve">          </w:t>
            </w:r>
            <w:r>
              <w:rPr>
                <w:noProof/>
                <w:rtl w:val="0"/>
                <w:lang w:val="uk-UA" w:eastAsia="uk-UA"/>
              </w:rPr>
              <w:pict>
                <v:shape id="Рисунок 3" o:spid="_x0000_i1026" type="#_x0000_t75" alt="http://zakon.rada.gov.ua/laws/file/imgs/32/p129651n2020.bmp" style="width:134.25pt;height:46.21pt;visibility:visible" filled="f" stroked="f">
                  <v:fill o:detectmouseclick="f"/>
                  <v:imagedata r:id="rId4" o:title=""/>
                  <o:lock v:ext="edit" aspectratio="t"/>
                </v:shape>
              </w:pict>
            </w:r>
          </w:p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jc w:val="both"/>
              <w:rPr>
                <w:rFonts w:cs="TimesNewRomanPSMT"/>
                <w:kern w:val="1"/>
                <w:sz w:val="28"/>
                <w:szCs w:val="28"/>
                <w:lang w:val="uk-UA"/>
              </w:rPr>
            </w:pPr>
          </w:p>
          <w:p w:rsidR="009B23CD" w:rsidRPr="00CB3D97" w:rsidP="009B23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142"/>
              <w:jc w:val="both"/>
              <w:rPr>
                <w:rFonts w:hint="default"/>
                <w:color w:val="000000"/>
                <w:sz w:val="28"/>
                <w:szCs w:val="28"/>
              </w:rPr>
            </w:pPr>
            <w:r w:rsidRPr="00CB3D97">
              <w:rPr>
                <w:rFonts w:hint="default"/>
                <w:color w:val="000000"/>
                <w:sz w:val="28"/>
                <w:szCs w:val="28"/>
              </w:rPr>
              <w:t>Кс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- коефіцієнт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;</w:t>
            </w:r>
          </w:p>
          <w:p w:rsidR="009B23CD" w:rsidRPr="00CB3D97" w:rsidP="009B23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142"/>
              <w:jc w:val="both"/>
              <w:rPr>
                <w:rFonts w:hint="default"/>
                <w:color w:val="000000"/>
                <w:sz w:val="28"/>
                <w:szCs w:val="28"/>
              </w:rPr>
            </w:pPr>
            <w:r w:rsidRPr="00CB3D97">
              <w:rPr>
                <w:rFonts w:hint="default"/>
                <w:color w:val="000000"/>
                <w:sz w:val="28"/>
                <w:szCs w:val="28"/>
              </w:rPr>
              <w:t>См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- сума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місяців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;</w:t>
            </w:r>
          </w:p>
          <w:p w:rsidR="009B23CD" w:rsidRPr="00CB3D97" w:rsidP="009B23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142"/>
              <w:jc w:val="both"/>
              <w:rPr>
                <w:rFonts w:hint="default"/>
                <w:color w:val="000000"/>
                <w:sz w:val="28"/>
                <w:szCs w:val="28"/>
              </w:rPr>
            </w:pPr>
            <w:r w:rsidRPr="00CB3D97">
              <w:rPr>
                <w:rFonts w:hint="default"/>
                <w:color w:val="000000"/>
                <w:sz w:val="28"/>
                <w:szCs w:val="28"/>
              </w:rPr>
              <w:t>Вс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- визначена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відповідно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цього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Закону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величина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оцінки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одного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року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(у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відсотках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>). За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період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участі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системі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загальнообов’язкового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державного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пенсійного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страхування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величина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оцінки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одного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року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страхового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стажу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дорівнює</w:t>
            </w:r>
            <w:r w:rsidRPr="00CB3D97">
              <w:rPr>
                <w:rFonts w:hint="default"/>
                <w:color w:val="000000"/>
                <w:sz w:val="28"/>
                <w:szCs w:val="28"/>
              </w:rPr>
              <w:t xml:space="preserve"> 1%.</w:t>
            </w:r>
          </w:p>
          <w:p w:rsidR="002C628B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rFonts w:cs="TimesNewRomanPSMT"/>
                <w:kern w:val="1"/>
                <w:sz w:val="28"/>
                <w:szCs w:val="28"/>
                <w:lang w:val="uk-UA"/>
              </w:rPr>
            </w:pPr>
          </w:p>
        </w:tc>
      </w:tr>
      <w:tr>
        <w:tblPrEx>
          <w:tblW w:w="13608" w:type="dxa"/>
          <w:tblInd w:w="817" w:type="dxa"/>
          <w:tblLayout w:type="fixed"/>
          <w:tblLook w:val="04A0"/>
        </w:tblPrEx>
        <w:trPr>
          <w:trHeight w:val="112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</w:pP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Для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осіб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, які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виконували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роботу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на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підставі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членства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в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колгоспах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пр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отягом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не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менше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десяти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років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,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величина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оцінки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одного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року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страхового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стажу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дорівнює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1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,5 %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незалежно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від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характеру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такої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роботи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й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тривалості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перерв.</w:t>
            </w:r>
          </w:p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</w:pP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разі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, якщо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осіб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, визначених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абзацом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шостим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частини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першої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цієї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статті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, значення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відношення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сум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коефіціє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нтів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заробітної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плати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(доходу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)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до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страхов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ого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стаж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за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місяці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, які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враховано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для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визначення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коефіцієнта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заробітної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плати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(доходу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) застрахованої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особи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, становить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менше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одиниці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,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величина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оцінки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одного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року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страхового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стажу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для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таких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осіб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дорівнює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 xml:space="preserve"> </w:t>
            </w:r>
            <w:r w:rsidRPr="00CB3D97">
              <w:rPr>
                <w:rFonts w:ascii="Times New Roman" w:hAnsi="Times New Roman" w:hint="default"/>
                <w:b/>
                <w:kern w:val="1"/>
                <w:sz w:val="28"/>
                <w:szCs w:val="28"/>
                <w:lang w:val="uk-UA"/>
              </w:rPr>
              <w:t>2%.</w:t>
            </w:r>
          </w:p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color w:val="000000"/>
                <w:shd w:val="clear" w:color="auto" w:fill="FFFFFF"/>
                <w:lang w:val="uk-UA"/>
              </w:rPr>
            </w:pPr>
          </w:p>
        </w:tc>
      </w:tr>
      <w:tr>
        <w:tblPrEx>
          <w:tblW w:w="13608" w:type="dxa"/>
          <w:tblInd w:w="817" w:type="dxa"/>
          <w:tblLayout w:type="fixed"/>
          <w:tblLook w:val="04A0"/>
        </w:tblPrEx>
        <w:trPr>
          <w:trHeight w:val="112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</w:pP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2. Кое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фіцієнт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страхового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стажу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з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урахуванням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періодів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до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набрання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чинності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цим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Законом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не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може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перевищувати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0,75, а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з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урахуванням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страхового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стажу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, передбаченого </w:t>
            </w:r>
            <w:hyperlink r:id="rId5" w:anchor="n447" w:history="1">
              <w:r w:rsidRPr="00CB3D97">
                <w:rPr>
                  <w:rFonts w:ascii="Times New Roman" w:hAnsi="Times New Roman" w:hint="default"/>
                  <w:color w:val="000000"/>
                  <w:sz w:val="28"/>
                  <w:szCs w:val="28"/>
                  <w:lang w:val="uk-UA" w:eastAsia="uk-UA"/>
                </w:rPr>
                <w:t>абзацом</w:t>
              </w:r>
              <w:r w:rsidRPr="00CB3D97">
                <w:rPr>
                  <w:rFonts w:ascii="Times New Roman" w:hAnsi="Times New Roman" w:hint="default"/>
                  <w:color w:val="000000"/>
                  <w:sz w:val="28"/>
                  <w:szCs w:val="28"/>
                  <w:lang w:val="uk-UA" w:eastAsia="uk-UA"/>
                </w:rPr>
                <w:t xml:space="preserve"> десятим</w:t>
              </w:r>
            </w:hyperlink>
            <w:r w:rsidRPr="00CB3D9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 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частини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третьо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ї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статті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24 цього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Закону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, - 0,85.</w:t>
            </w:r>
          </w:p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</w:pPr>
          </w:p>
          <w:p w:rsidR="009B23CD" w:rsidRPr="00CB3D97" w:rsidP="009B23CD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</w:pP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2. Коефіцієнт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страхового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стажу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з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урахуванням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періодів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до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набрання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чинності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цим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Законом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не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може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перевищувати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0,75, а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з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урахуванням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страхового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стажу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, передбаченого </w:t>
            </w:r>
            <w:hyperlink r:id="rId5" w:anchor="n447" w:history="1">
              <w:r w:rsidRPr="00CB3D97">
                <w:rPr>
                  <w:rFonts w:ascii="Times New Roman" w:hAnsi="Times New Roman" w:hint="default"/>
                  <w:color w:val="000000"/>
                  <w:sz w:val="28"/>
                  <w:szCs w:val="28"/>
                  <w:lang w:val="uk-UA" w:eastAsia="uk-UA"/>
                </w:rPr>
                <w:t>абзацом</w:t>
              </w:r>
              <w:r w:rsidRPr="00CB3D97">
                <w:rPr>
                  <w:rFonts w:ascii="Times New Roman" w:hAnsi="Times New Roman" w:hint="default"/>
                  <w:color w:val="000000"/>
                  <w:sz w:val="28"/>
                  <w:szCs w:val="28"/>
                  <w:lang w:val="uk-UA" w:eastAsia="uk-UA"/>
                </w:rPr>
                <w:t xml:space="preserve"> десятим</w:t>
              </w:r>
            </w:hyperlink>
            <w:r w:rsidRPr="00CB3D9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 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частини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третьої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статті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24 цього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 xml:space="preserve"> Закону</w:t>
            </w:r>
            <w:r w:rsidRPr="00CB3D97"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  <w:t>, - 0,85.</w:t>
            </w:r>
          </w:p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</w:pPr>
          </w:p>
          <w:p w:rsidR="009B23CD" w:rsidRPr="00CB3D97" w:rsidP="009B23CD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hint="default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FB1AF6" w:rsidRPr="00CB3D97" w:rsidP="009B23CD">
      <w:pPr>
        <w:pStyle w:val="NormalWeb"/>
        <w:bidi w:val="0"/>
        <w:spacing w:before="0" w:beforeAutospacing="0" w:after="0" w:afterAutospacing="0"/>
        <w:ind w:firstLine="540"/>
        <w:jc w:val="both"/>
        <w:rPr>
          <w:b/>
          <w:kern w:val="1"/>
          <w:sz w:val="28"/>
          <w:szCs w:val="28"/>
          <w:lang w:val="uk-UA"/>
        </w:rPr>
      </w:pPr>
    </w:p>
    <w:p w:rsidR="0013061E" w:rsidRPr="00CB3D97" w:rsidP="009B23CD">
      <w:pPr>
        <w:widowControl w:val="0"/>
        <w:autoSpaceDE w:val="0"/>
        <w:autoSpaceDN w:val="0"/>
        <w:bidi w:val="0"/>
        <w:adjustRightInd w:val="0"/>
        <w:spacing w:after="0" w:line="240" w:lineRule="auto"/>
        <w:jc w:val="both"/>
        <w:rPr>
          <w:rFonts w:cs="TimesNewRomanPSMT"/>
          <w:b/>
          <w:bCs/>
          <w:kern w:val="1"/>
          <w:sz w:val="28"/>
          <w:szCs w:val="28"/>
          <w:lang w:val="uk-UA"/>
        </w:rPr>
      </w:pPr>
    </w:p>
    <w:p w:rsidR="009F309C" w:rsidRPr="00CB3D97" w:rsidP="009B23CD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kern w:val="1"/>
          <w:sz w:val="28"/>
          <w:szCs w:val="28"/>
          <w:lang w:val="uk-UA"/>
        </w:rPr>
      </w:pPr>
      <w:r w:rsidRPr="00CB3D97" w:rsidR="009B23CD">
        <w:rPr>
          <w:rFonts w:ascii="TimesNewRomanPSMT" w:hAnsi="TimesNewRomanPSMT" w:cs="TimesNewRomanPSMT"/>
          <w:b/>
          <w:bCs/>
          <w:kern w:val="1"/>
          <w:sz w:val="28"/>
          <w:szCs w:val="28"/>
          <w:lang w:val="uk-UA"/>
        </w:rPr>
        <w:t xml:space="preserve">        </w:t>
      </w:r>
      <w:r w:rsidRPr="00CB3D97" w:rsidR="002C628B">
        <w:rPr>
          <w:rFonts w:ascii="TimesNewRomanPSMT" w:hAnsi="TimesNewRomanPSMT" w:cs="TimesNewRomanPSMT" w:hint="default"/>
          <w:b/>
          <w:bCs/>
          <w:kern w:val="1"/>
          <w:sz w:val="28"/>
          <w:szCs w:val="28"/>
          <w:lang w:val="uk-UA"/>
        </w:rPr>
        <w:t>Народні</w:t>
      </w:r>
      <w:r w:rsidRPr="00CB3D97" w:rsidR="002C628B">
        <w:rPr>
          <w:rFonts w:ascii="TimesNewRomanPSMT" w:hAnsi="TimesNewRomanPSMT" w:cs="TimesNewRomanPSMT" w:hint="default"/>
          <w:b/>
          <w:bCs/>
          <w:kern w:val="1"/>
          <w:sz w:val="28"/>
          <w:szCs w:val="28"/>
          <w:lang w:val="uk-UA"/>
        </w:rPr>
        <w:t xml:space="preserve"> </w:t>
      </w:r>
      <w:r w:rsidRPr="00CB3D97" w:rsidR="002C628B">
        <w:rPr>
          <w:rFonts w:ascii="TimesNewRomanPSMT" w:hAnsi="TimesNewRomanPSMT" w:cs="TimesNewRomanPSMT" w:hint="default"/>
          <w:b/>
          <w:bCs/>
          <w:kern w:val="1"/>
          <w:sz w:val="28"/>
          <w:szCs w:val="28"/>
          <w:lang w:val="uk-UA"/>
        </w:rPr>
        <w:t>депутати</w:t>
      </w:r>
      <w:r w:rsidRPr="00CB3D97" w:rsidR="002C628B">
        <w:rPr>
          <w:rFonts w:ascii="TimesNewRomanPSMT" w:hAnsi="TimesNewRomanPSMT" w:cs="TimesNewRomanPSMT" w:hint="default"/>
          <w:b/>
          <w:bCs/>
          <w:kern w:val="1"/>
          <w:sz w:val="28"/>
          <w:szCs w:val="28"/>
          <w:lang w:val="uk-UA"/>
        </w:rPr>
        <w:t xml:space="preserve"> </w:t>
      </w:r>
      <w:r w:rsidRPr="00CB3D97" w:rsidR="002C628B">
        <w:rPr>
          <w:rFonts w:ascii="TimesNewRomanPSMT" w:hAnsi="TimesNewRomanPSMT" w:cs="TimesNewRomanPSMT" w:hint="default"/>
          <w:b/>
          <w:bCs/>
          <w:kern w:val="1"/>
          <w:sz w:val="28"/>
          <w:szCs w:val="28"/>
          <w:lang w:val="uk-UA"/>
        </w:rPr>
        <w:t>України</w:t>
      </w:r>
      <w:r w:rsidRPr="00CB3D97">
        <w:rPr>
          <w:rFonts w:cs="TimesNewRomanPSMT"/>
          <w:b/>
          <w:bCs/>
          <w:kern w:val="1"/>
          <w:sz w:val="28"/>
          <w:szCs w:val="28"/>
          <w:lang w:val="uk-UA"/>
        </w:rPr>
        <w:t xml:space="preserve">                                       </w:t>
      </w:r>
    </w:p>
    <w:p w:rsidR="008705D2" w:rsidRPr="00CB3D97" w:rsidP="009B23CD">
      <w:pPr>
        <w:widowControl w:val="0"/>
        <w:autoSpaceDE w:val="0"/>
        <w:autoSpaceDN w:val="0"/>
        <w:bidi w:val="0"/>
        <w:adjustRightInd w:val="0"/>
        <w:spacing w:after="0" w:line="240" w:lineRule="auto"/>
        <w:ind w:hanging="85"/>
        <w:rPr>
          <w:rFonts w:ascii="Times New Roman" w:hAnsi="Times New Roman"/>
          <w:bCs/>
          <w:sz w:val="28"/>
          <w:szCs w:val="28"/>
          <w:lang w:val="uk-UA"/>
        </w:rPr>
      </w:pPr>
    </w:p>
    <w:p w:rsidR="008705D2" w:rsidRPr="00CB3D97" w:rsidP="009B23CD">
      <w:pPr>
        <w:widowControl w:val="0"/>
        <w:autoSpaceDE w:val="0"/>
        <w:autoSpaceDN w:val="0"/>
        <w:bidi w:val="0"/>
        <w:adjustRightInd w:val="0"/>
        <w:spacing w:after="0" w:line="240" w:lineRule="auto"/>
        <w:ind w:hanging="85"/>
        <w:rPr>
          <w:rFonts w:ascii="Times New Roman" w:hAnsi="Times New Roman"/>
          <w:bCs/>
          <w:sz w:val="28"/>
          <w:szCs w:val="28"/>
          <w:lang w:val="uk-UA"/>
        </w:rPr>
      </w:pPr>
    </w:p>
    <w:sectPr>
      <w:footerReference w:type="default" r:id="rId6"/>
      <w:pgSz w:w="16840" w:h="11900"/>
      <w:pgMar w:top="993" w:right="1134" w:bottom="1258" w:left="1134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CD">
    <w:pPr>
      <w:pStyle w:val="Foot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 w:rsidRPr="00CB3D97" w:rsidR="00CB3D97">
      <w:rPr>
        <w:noProof/>
        <w:lang w:val="uk-UA"/>
      </w:rPr>
      <w:t>2</w:t>
    </w:r>
    <w:r>
      <w:fldChar w:fldCharType="end"/>
    </w:r>
  </w:p>
  <w:p w:rsidR="009B23CD">
    <w:pPr>
      <w:pStyle w:val="Footer"/>
      <w:bidi w:val="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08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117592"/>
    <w:rsid w:val="00013E90"/>
    <w:rsid w:val="00034D43"/>
    <w:rsid w:val="00042C5F"/>
    <w:rsid w:val="00054B47"/>
    <w:rsid w:val="00060A6C"/>
    <w:rsid w:val="00061CA0"/>
    <w:rsid w:val="00072CBE"/>
    <w:rsid w:val="00076E88"/>
    <w:rsid w:val="000D2627"/>
    <w:rsid w:val="000E7CFC"/>
    <w:rsid w:val="000F09AE"/>
    <w:rsid w:val="00117592"/>
    <w:rsid w:val="0013061E"/>
    <w:rsid w:val="0017088F"/>
    <w:rsid w:val="00172940"/>
    <w:rsid w:val="00190C81"/>
    <w:rsid w:val="001C4662"/>
    <w:rsid w:val="001E0C82"/>
    <w:rsid w:val="001F47FE"/>
    <w:rsid w:val="00282EB9"/>
    <w:rsid w:val="002A52EC"/>
    <w:rsid w:val="002C628B"/>
    <w:rsid w:val="0037711A"/>
    <w:rsid w:val="00377475"/>
    <w:rsid w:val="003A496B"/>
    <w:rsid w:val="003C0E3A"/>
    <w:rsid w:val="003C67C3"/>
    <w:rsid w:val="003D3170"/>
    <w:rsid w:val="004913FB"/>
    <w:rsid w:val="004D2B2A"/>
    <w:rsid w:val="00521C49"/>
    <w:rsid w:val="00545ACF"/>
    <w:rsid w:val="00545BA3"/>
    <w:rsid w:val="00563DE9"/>
    <w:rsid w:val="00571461"/>
    <w:rsid w:val="00593230"/>
    <w:rsid w:val="005B6CB3"/>
    <w:rsid w:val="005E4E79"/>
    <w:rsid w:val="0068371E"/>
    <w:rsid w:val="006968B2"/>
    <w:rsid w:val="006A13D5"/>
    <w:rsid w:val="006B7744"/>
    <w:rsid w:val="006C7145"/>
    <w:rsid w:val="006D4F1E"/>
    <w:rsid w:val="007138CA"/>
    <w:rsid w:val="0072387E"/>
    <w:rsid w:val="00746301"/>
    <w:rsid w:val="00755CA8"/>
    <w:rsid w:val="007B1E05"/>
    <w:rsid w:val="007D44F8"/>
    <w:rsid w:val="007E0E9E"/>
    <w:rsid w:val="0080774E"/>
    <w:rsid w:val="00827B38"/>
    <w:rsid w:val="00832051"/>
    <w:rsid w:val="0083420C"/>
    <w:rsid w:val="0084334E"/>
    <w:rsid w:val="0085621F"/>
    <w:rsid w:val="008705D2"/>
    <w:rsid w:val="008819DF"/>
    <w:rsid w:val="00897E50"/>
    <w:rsid w:val="008E3712"/>
    <w:rsid w:val="008E7402"/>
    <w:rsid w:val="008E78B6"/>
    <w:rsid w:val="00926521"/>
    <w:rsid w:val="00927E4F"/>
    <w:rsid w:val="00940379"/>
    <w:rsid w:val="009B08A6"/>
    <w:rsid w:val="009B23CD"/>
    <w:rsid w:val="009C246C"/>
    <w:rsid w:val="009C69C4"/>
    <w:rsid w:val="009F309C"/>
    <w:rsid w:val="00A10045"/>
    <w:rsid w:val="00A24371"/>
    <w:rsid w:val="00A810EF"/>
    <w:rsid w:val="00A81D0D"/>
    <w:rsid w:val="00AA7352"/>
    <w:rsid w:val="00AF2E44"/>
    <w:rsid w:val="00AF3D63"/>
    <w:rsid w:val="00B0061A"/>
    <w:rsid w:val="00B06BB6"/>
    <w:rsid w:val="00B7794D"/>
    <w:rsid w:val="00BC1EDE"/>
    <w:rsid w:val="00BD00F7"/>
    <w:rsid w:val="00BF0736"/>
    <w:rsid w:val="00C34E74"/>
    <w:rsid w:val="00C9421C"/>
    <w:rsid w:val="00CB3D97"/>
    <w:rsid w:val="00CB4127"/>
    <w:rsid w:val="00CC38CA"/>
    <w:rsid w:val="00CC3DD6"/>
    <w:rsid w:val="00D067BC"/>
    <w:rsid w:val="00D42EF6"/>
    <w:rsid w:val="00D51B9E"/>
    <w:rsid w:val="00D52AB2"/>
    <w:rsid w:val="00D54FB4"/>
    <w:rsid w:val="00D72DE0"/>
    <w:rsid w:val="00D73BDA"/>
    <w:rsid w:val="00D87DA7"/>
    <w:rsid w:val="00DB44FD"/>
    <w:rsid w:val="00DD67F3"/>
    <w:rsid w:val="00DE3D52"/>
    <w:rsid w:val="00DE5F2A"/>
    <w:rsid w:val="00DF7D76"/>
    <w:rsid w:val="00E12859"/>
    <w:rsid w:val="00E37E09"/>
    <w:rsid w:val="00E65D4E"/>
    <w:rsid w:val="00E6782A"/>
    <w:rsid w:val="00E70D11"/>
    <w:rsid w:val="00E777A8"/>
    <w:rsid w:val="00EA6AF9"/>
    <w:rsid w:val="00EC7D87"/>
    <w:rsid w:val="00ED72C7"/>
    <w:rsid w:val="00EF2060"/>
    <w:rsid w:val="00F01EBF"/>
    <w:rsid w:val="00F24454"/>
    <w:rsid w:val="00F27B81"/>
    <w:rsid w:val="00F526E7"/>
    <w:rsid w:val="00F71F5C"/>
    <w:rsid w:val="00FA1DFB"/>
    <w:rsid w:val="00FA742E"/>
    <w:rsid w:val="00FB1AF6"/>
    <w:rsid w:val="00FD292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eastAsiaTheme="minorEastAsia" w:hAnsiTheme="minorHAnsi" w:cs="Times New Roman"/>
      <w:sz w:val="22"/>
      <w:szCs w:val="22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A1DF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39"/>
    <w:rsid w:val="00FB1AF6"/>
    <w:pPr>
      <w:spacing w:after="0" w:line="240" w:lineRule="auto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9B23CD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9B23CD"/>
    <w:rPr>
      <w:rFonts w:cs="Times New Roman"/>
      <w:rtl w:val="0"/>
      <w:cs w:val="0"/>
      <w:lang w:val="en-US" w:eastAsia="en-US"/>
    </w:rPr>
  </w:style>
  <w:style w:type="paragraph" w:styleId="Footer">
    <w:name w:val="footer"/>
    <w:basedOn w:val="Normal"/>
    <w:link w:val="a0"/>
    <w:uiPriority w:val="99"/>
    <w:unhideWhenUsed/>
    <w:rsid w:val="009B23CD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9B23CD"/>
    <w:rPr>
      <w:rFonts w:cs="Times New Roman"/>
      <w:rtl w:val="0"/>
      <w:cs w:val="0"/>
      <w:lang w:val="en-US" w:eastAsia="en-US"/>
    </w:rPr>
  </w:style>
  <w:style w:type="paragraph" w:customStyle="1" w:styleId="rvps2">
    <w:name w:val="rvps2"/>
    <w:basedOn w:val="Normal"/>
    <w:rsid w:val="009B23C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Normal"/>
    <w:rsid w:val="009B23C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uk-UA" w:eastAsia="uk-UA"/>
    </w:rPr>
  </w:style>
  <w:style w:type="character" w:styleId="Hyperlink">
    <w:name w:val="Hyperlink"/>
    <w:basedOn w:val="DefaultParagraphFont"/>
    <w:uiPriority w:val="99"/>
    <w:semiHidden/>
    <w:unhideWhenUsed/>
    <w:rsid w:val="009B23CD"/>
    <w:rPr>
      <w:rFonts w:cs="Times New Roman"/>
      <w:color w:val="0000FF"/>
      <w:u w:val="single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unhideWhenUsed/>
    <w:rsid w:val="0013061E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13061E"/>
    <w:rPr>
      <w:rFonts w:ascii="Segoe UI" w:hAnsi="Segoe UI" w:cs="Segoe UI"/>
      <w:sz w:val="18"/>
      <w:szCs w:val="18"/>
      <w:rtl w:val="0"/>
      <w: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zakon.rada.gov.ua/rada/show/1058-15" TargetMode="Externa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Pages>2</Pages>
  <Words>1712</Words>
  <Characters>977</Characters>
  <Application>Microsoft Office Word</Application>
  <DocSecurity>0</DocSecurity>
  <Lines>0</Lines>
  <Paragraphs>0</Paragraphs>
  <ScaleCrop>false</ScaleCrop>
  <Company>CtrlSoft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X</dc:creator>
  <cp:lastModifiedBy>Герега Олександр Володимирович</cp:lastModifiedBy>
  <cp:revision>5</cp:revision>
  <cp:lastPrinted>2019-12-18T10:44:00Z</cp:lastPrinted>
  <dcterms:created xsi:type="dcterms:W3CDTF">2019-11-04T15:35:00Z</dcterms:created>
  <dcterms:modified xsi:type="dcterms:W3CDTF">2019-12-18T10:54:00Z</dcterms:modified>
</cp:coreProperties>
</file>