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8C51C9" w:rsidRPr="0009042F" w:rsidP="0009042F">
      <w:pPr>
        <w:shd w:val="clear" w:color="auto" w:fill="FFFFFF"/>
        <w:jc w:val="center"/>
        <w:rPr>
          <w:color w:val="000000"/>
          <w:spacing w:val="6"/>
          <w:sz w:val="28"/>
          <w:szCs w:val="28"/>
          <w:lang w:val="uk-UA"/>
        </w:rPr>
      </w:pPr>
      <w:r w:rsidRPr="0009042F">
        <w:rPr>
          <w:color w:val="000000"/>
          <w:spacing w:val="6"/>
          <w:sz w:val="28"/>
          <w:szCs w:val="28"/>
          <w:lang w:val="uk-UA"/>
        </w:rPr>
        <w:t>ПОЯСНЮВАЛЬНА ЗАПИСКА</w:t>
      </w:r>
    </w:p>
    <w:p w:rsidR="00F728F0" w:rsidRPr="0009042F" w:rsidP="0009042F">
      <w:pPr>
        <w:jc w:val="center"/>
        <w:rPr>
          <w:sz w:val="28"/>
          <w:szCs w:val="28"/>
          <w:lang w:val="uk-UA"/>
        </w:rPr>
      </w:pPr>
      <w:r w:rsidRPr="00DB2239" w:rsidR="00B022AA">
        <w:rPr>
          <w:sz w:val="28"/>
          <w:szCs w:val="28"/>
          <w:lang w:val="uk-UA"/>
        </w:rPr>
        <w:t>до проє</w:t>
      </w:r>
      <w:r w:rsidRPr="00DB2239">
        <w:rPr>
          <w:sz w:val="28"/>
          <w:szCs w:val="28"/>
          <w:lang w:val="uk-UA"/>
        </w:rPr>
        <w:t>кту Закону України «</w:t>
      </w:r>
      <w:r w:rsidRPr="00DB2239" w:rsidR="0009042F">
        <w:rPr>
          <w:sz w:val="28"/>
          <w:szCs w:val="28"/>
          <w:lang w:val="uk-UA"/>
        </w:rPr>
        <w:t>Про внесення змін до Кримінального процесуального кодексу України</w:t>
      </w:r>
      <w:r w:rsidRPr="00DB2239" w:rsidR="00A760A8">
        <w:rPr>
          <w:sz w:val="28"/>
          <w:szCs w:val="28"/>
          <w:lang w:val="uk-UA"/>
        </w:rPr>
        <w:t xml:space="preserve"> (щодо</w:t>
      </w:r>
      <w:r w:rsidRPr="00DB2239" w:rsidR="00DB2239">
        <w:rPr>
          <w:sz w:val="28"/>
          <w:szCs w:val="28"/>
          <w:lang w:val="uk-UA"/>
        </w:rPr>
        <w:t xml:space="preserve"> вдосконалення правового регулювання кримінального процесу)</w:t>
      </w:r>
      <w:r w:rsidR="00A760A8">
        <w:rPr>
          <w:sz w:val="28"/>
          <w:szCs w:val="28"/>
          <w:lang w:val="uk-UA"/>
        </w:rPr>
        <w:t xml:space="preserve">» </w:t>
      </w:r>
    </w:p>
    <w:p w:rsidR="008C51C9" w:rsidRPr="0009042F" w:rsidP="00F72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color w:val="000000"/>
          <w:spacing w:val="-26"/>
          <w:sz w:val="28"/>
          <w:szCs w:val="28"/>
          <w:lang w:val="uk-UA"/>
        </w:rPr>
      </w:pPr>
    </w:p>
    <w:p w:rsidR="00EF756A" w:rsidRPr="0009042F" w:rsidP="00011958">
      <w:pPr>
        <w:shd w:val="clear" w:color="auto" w:fill="FFFFFF"/>
        <w:ind w:firstLine="567"/>
        <w:jc w:val="center"/>
        <w:rPr>
          <w:color w:val="000000"/>
          <w:spacing w:val="-26"/>
          <w:sz w:val="28"/>
          <w:szCs w:val="28"/>
          <w:lang w:val="uk-UA"/>
        </w:rPr>
      </w:pPr>
    </w:p>
    <w:p w:rsidR="008C51C9" w:rsidRPr="0083718A" w:rsidP="00011958">
      <w:pPr>
        <w:shd w:val="clear" w:color="auto" w:fill="FFFFFF"/>
        <w:ind w:firstLine="567"/>
        <w:jc w:val="both"/>
        <w:rPr>
          <w:color w:val="000000"/>
          <w:spacing w:val="-1"/>
          <w:sz w:val="28"/>
          <w:szCs w:val="28"/>
          <w:lang w:val="uk-UA"/>
        </w:rPr>
      </w:pPr>
      <w:r w:rsidRPr="0083718A">
        <w:rPr>
          <w:color w:val="000000"/>
          <w:spacing w:val="-1"/>
          <w:sz w:val="28"/>
          <w:szCs w:val="28"/>
          <w:lang w:val="uk-UA"/>
        </w:rPr>
        <w:t xml:space="preserve">1. Обґрунтування необхідності прийняття </w:t>
      </w:r>
      <w:r w:rsidRPr="0083718A" w:rsidR="008E0662">
        <w:rPr>
          <w:color w:val="000000"/>
          <w:spacing w:val="-1"/>
          <w:sz w:val="28"/>
          <w:szCs w:val="28"/>
          <w:lang w:val="uk-UA"/>
        </w:rPr>
        <w:t>акта</w:t>
      </w:r>
    </w:p>
    <w:p w:rsidR="00DF482B" w:rsidRPr="00DF482B" w:rsidP="00DF482B">
      <w:pPr>
        <w:suppressAutoHyphens/>
        <w:ind w:firstLine="567"/>
        <w:jc w:val="both"/>
        <w:rPr>
          <w:b w:val="0"/>
          <w:sz w:val="28"/>
          <w:szCs w:val="28"/>
          <w:lang w:val="uk-UA" w:eastAsia="ar-SA"/>
        </w:rPr>
      </w:pPr>
      <w:r w:rsidRPr="00DF482B">
        <w:rPr>
          <w:b w:val="0"/>
          <w:sz w:val="28"/>
          <w:szCs w:val="28"/>
          <w:lang w:val="uk-UA" w:eastAsia="ar-SA"/>
        </w:rPr>
        <w:t xml:space="preserve">Статтею 2 Кримінального процесуального кодексу України (далі – КПК України) визначено, що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 </w:t>
      </w:r>
    </w:p>
    <w:p w:rsidR="00DF482B" w:rsidRPr="00DF482B" w:rsidP="00DF482B">
      <w:pPr>
        <w:suppressAutoHyphens/>
        <w:ind w:firstLine="567"/>
        <w:jc w:val="both"/>
        <w:rPr>
          <w:b w:val="0"/>
          <w:sz w:val="28"/>
          <w:szCs w:val="28"/>
          <w:lang w:val="uk-UA" w:eastAsia="ar-SA"/>
        </w:rPr>
      </w:pPr>
      <w:r w:rsidRPr="00DF482B">
        <w:rPr>
          <w:b w:val="0"/>
          <w:sz w:val="28"/>
          <w:szCs w:val="28"/>
          <w:lang w:val="uk-UA" w:eastAsia="ar-SA"/>
        </w:rPr>
        <w:t>Із зазначеного слідує, що законодавство України, має забезпечувати не лише невідворотність кримінального покарання, а й гарантувати належне дотримання прав людини у кримінальному процесі, повагу до її особистості, ставлення до неї як до особи, вина якої у вчиненні злочину ще не доведена, а також забезпечувати неупередженість та об’єктивність досудового розслідування та судового розгляду, передбачати існування ефективних процедур, які надаватимуть рівні процесуальні можливості стороні обвинувачення та стороні захисту.</w:t>
      </w:r>
    </w:p>
    <w:p w:rsidR="00DF482B" w:rsidRPr="00DF482B" w:rsidP="00DF482B">
      <w:pPr>
        <w:shd w:val="clear" w:color="auto" w:fill="FFFFFF"/>
        <w:suppressAutoHyphens/>
        <w:ind w:firstLine="567"/>
        <w:jc w:val="both"/>
        <w:rPr>
          <w:b w:val="0"/>
          <w:sz w:val="28"/>
          <w:szCs w:val="28"/>
          <w:lang w:val="uk-UA" w:eastAsia="ar-SA"/>
        </w:rPr>
      </w:pPr>
      <w:r w:rsidRPr="00DF482B">
        <w:rPr>
          <w:b w:val="0"/>
          <w:sz w:val="28"/>
          <w:szCs w:val="28"/>
          <w:lang w:val="uk-UA" w:eastAsia="ar-SA"/>
        </w:rPr>
        <w:t>Водночас, доводиться констатувати, що практичне застосування окремих положень КПК України створює потенційну вразливість прав і свобод людини, гарантованих Конституцією України, Загальною декларацією прав людини ООН, Конвенцією Ради Європи про захист прав людини і основоположних свобод.</w:t>
      </w:r>
    </w:p>
    <w:p w:rsidR="00DB466B" w:rsidRPr="000860C9" w:rsidP="00011958">
      <w:pPr>
        <w:shd w:val="clear" w:color="auto" w:fill="FFFFFF"/>
        <w:ind w:firstLine="567"/>
        <w:jc w:val="both"/>
        <w:rPr>
          <w:b w:val="0"/>
          <w:color w:val="000000"/>
          <w:spacing w:val="-1"/>
          <w:sz w:val="28"/>
          <w:szCs w:val="28"/>
          <w:lang w:val="uk-UA"/>
        </w:rPr>
      </w:pPr>
      <w:r w:rsidRPr="000860C9">
        <w:rPr>
          <w:b w:val="0"/>
          <w:color w:val="000000"/>
          <w:spacing w:val="-1"/>
          <w:sz w:val="28"/>
          <w:szCs w:val="28"/>
          <w:lang w:val="uk-UA"/>
        </w:rPr>
        <w:t xml:space="preserve">Статтею 303 КПК України передбачено виключний перелік рішень, дій чи бездіяльності слідчого або прокурора, які можуть бути оскаржені під час досудового розслідування та право на оскарження. </w:t>
      </w:r>
    </w:p>
    <w:p w:rsidR="00DB466B" w:rsidRPr="000860C9" w:rsidP="00011958">
      <w:pPr>
        <w:shd w:val="clear" w:color="auto" w:fill="FFFFFF"/>
        <w:ind w:firstLine="567"/>
        <w:jc w:val="both"/>
        <w:rPr>
          <w:b w:val="0"/>
          <w:color w:val="000000"/>
          <w:spacing w:val="-1"/>
          <w:sz w:val="28"/>
          <w:szCs w:val="28"/>
          <w:lang w:val="uk-UA"/>
        </w:rPr>
      </w:pPr>
      <w:r w:rsidRPr="000860C9">
        <w:rPr>
          <w:b w:val="0"/>
          <w:color w:val="000000"/>
          <w:spacing w:val="-1"/>
          <w:sz w:val="28"/>
          <w:szCs w:val="28"/>
          <w:lang w:val="uk-UA"/>
        </w:rPr>
        <w:t xml:space="preserve">Всі ці рішення, дії чи бездіяльність пов’язані безпосередньо з реалізацією повноважень слідчого або прокурора у кримінальному провадженні, що прямо встановлені КПК України. </w:t>
      </w:r>
    </w:p>
    <w:p w:rsidR="00DB466B" w:rsidRPr="000860C9" w:rsidP="00011958">
      <w:pPr>
        <w:shd w:val="clear" w:color="auto" w:fill="FFFFFF"/>
        <w:ind w:firstLine="567"/>
        <w:jc w:val="both"/>
        <w:rPr>
          <w:b w:val="0"/>
          <w:color w:val="000000"/>
          <w:spacing w:val="-1"/>
          <w:sz w:val="28"/>
          <w:szCs w:val="28"/>
          <w:lang w:val="uk-UA"/>
        </w:rPr>
      </w:pPr>
      <w:r w:rsidRPr="000860C9">
        <w:rPr>
          <w:b w:val="0"/>
          <w:color w:val="000000"/>
          <w:spacing w:val="-1"/>
          <w:sz w:val="28"/>
          <w:szCs w:val="28"/>
          <w:lang w:val="uk-UA"/>
        </w:rPr>
        <w:t>У той же час, на практиці слідчий та прокурор приймають рішення та вчиняють процесуальні дії на власний розсуд у спосіб, який прямо не передбачений КПК України, та які впливають на хід досудового розслідування (скасування постанов про закриття кримінального провадження поза межами строків, встановлених КПК України, прийняття постанов про створення міжвідомчих слідчих груп, участь прокурора або слідчого у проведенні процесуальних дій поза межами строків досудового розслідування й т.п.), що позбавляє зацікавлену сторону кримінального провадження бути впевнено</w:t>
      </w:r>
      <w:r w:rsidR="00DB2239">
        <w:rPr>
          <w:b w:val="0"/>
          <w:color w:val="000000"/>
          <w:spacing w:val="-1"/>
          <w:sz w:val="28"/>
          <w:szCs w:val="28"/>
          <w:lang w:val="uk-UA"/>
        </w:rPr>
        <w:t>ю</w:t>
      </w:r>
      <w:r w:rsidRPr="000860C9">
        <w:rPr>
          <w:b w:val="0"/>
          <w:color w:val="000000"/>
          <w:spacing w:val="-1"/>
          <w:sz w:val="28"/>
          <w:szCs w:val="28"/>
          <w:lang w:val="uk-UA"/>
        </w:rPr>
        <w:t>, що їх прийнято або проведено з дотримання принципів верховенства права та законності (ст.ст.8,9 КПК України).</w:t>
      </w:r>
    </w:p>
    <w:p w:rsidR="000860C9" w:rsidRPr="000860C9" w:rsidP="00011958">
      <w:pPr>
        <w:shd w:val="clear" w:color="auto" w:fill="FFFFFF"/>
        <w:ind w:firstLine="567"/>
        <w:jc w:val="both"/>
        <w:rPr>
          <w:b w:val="0"/>
          <w:color w:val="000000"/>
          <w:spacing w:val="-1"/>
          <w:sz w:val="28"/>
          <w:szCs w:val="28"/>
          <w:lang w:val="uk-UA"/>
        </w:rPr>
      </w:pPr>
      <w:r w:rsidRPr="000860C9" w:rsidR="00DB466B">
        <w:rPr>
          <w:b w:val="0"/>
          <w:color w:val="000000"/>
          <w:spacing w:val="-1"/>
          <w:sz w:val="28"/>
          <w:szCs w:val="28"/>
          <w:lang w:val="uk-UA"/>
        </w:rPr>
        <w:t>Відсутність можливості судового оскарження таких дій та рішень сторони обвинувачення з боку інших учасників кримінального провадження суперечить засадам кримінального провадження</w:t>
      </w:r>
      <w:r w:rsidRPr="000860C9">
        <w:rPr>
          <w:b w:val="0"/>
          <w:color w:val="000000"/>
          <w:spacing w:val="-1"/>
          <w:sz w:val="28"/>
          <w:szCs w:val="28"/>
          <w:lang w:val="uk-UA"/>
        </w:rPr>
        <w:t xml:space="preserve">, визначених главою 2 КПК України та призводить до порушення їх прав на досудовому розслідуванні. </w:t>
      </w:r>
    </w:p>
    <w:p w:rsidR="000860C9" w:rsidRPr="000860C9" w:rsidP="00011958">
      <w:pPr>
        <w:shd w:val="clear" w:color="auto" w:fill="FFFFFF"/>
        <w:ind w:firstLine="567"/>
        <w:jc w:val="both"/>
        <w:rPr>
          <w:b w:val="0"/>
          <w:color w:val="000000"/>
          <w:spacing w:val="-1"/>
          <w:sz w:val="28"/>
          <w:szCs w:val="28"/>
          <w:lang w:val="uk-UA"/>
        </w:rPr>
      </w:pPr>
      <w:r w:rsidRPr="000860C9">
        <w:rPr>
          <w:b w:val="0"/>
          <w:color w:val="000000"/>
          <w:spacing w:val="-1"/>
          <w:sz w:val="28"/>
          <w:szCs w:val="28"/>
          <w:lang w:val="uk-UA"/>
        </w:rPr>
        <w:t xml:space="preserve">Одночасно, чинним законодавством не передбачено іншого способу захисту порушених прав сторони кримінального провадження в іншому судочинстві, ніж кримінальне. </w:t>
      </w:r>
    </w:p>
    <w:p w:rsidR="00DF482B" w:rsidRPr="00DF482B" w:rsidP="00DF482B">
      <w:pPr>
        <w:suppressAutoHyphens/>
        <w:ind w:firstLine="567"/>
        <w:jc w:val="both"/>
        <w:rPr>
          <w:b w:val="0"/>
          <w:sz w:val="28"/>
          <w:szCs w:val="28"/>
          <w:lang w:val="uk-UA" w:eastAsia="ar-SA"/>
        </w:rPr>
      </w:pPr>
      <w:r w:rsidRPr="00DF482B">
        <w:rPr>
          <w:b w:val="0"/>
          <w:sz w:val="28"/>
          <w:szCs w:val="28"/>
          <w:lang w:val="uk-UA" w:eastAsia="ar-SA"/>
        </w:rPr>
        <w:t>З огляду на існуючі недоліки чинного Кримінального процесуального кодексу України, підкомітет з питань кримінального процесуального законодавства та оперативно-розшукової діяльності</w:t>
      </w:r>
      <w:r w:rsidRPr="00DF482B">
        <w:rPr>
          <w:rFonts w:cs="Cambria"/>
          <w:b w:val="0"/>
          <w:sz w:val="28"/>
          <w:szCs w:val="28"/>
          <w:lang w:val="uk-UA"/>
        </w:rPr>
        <w:t xml:space="preserve"> при Комітеті Верховної Ради України з питань правоохоронної діяльності</w:t>
      </w:r>
      <w:r w:rsidRPr="00DF482B">
        <w:rPr>
          <w:b w:val="0"/>
          <w:sz w:val="28"/>
          <w:szCs w:val="28"/>
          <w:lang w:val="uk-UA" w:eastAsia="ar-SA"/>
        </w:rPr>
        <w:t xml:space="preserve">, напрацьовано </w:t>
      </w:r>
      <w:r w:rsidRPr="00DF482B">
        <w:rPr>
          <w:rFonts w:cs="Cambria"/>
          <w:b w:val="0"/>
          <w:sz w:val="28"/>
          <w:szCs w:val="28"/>
          <w:lang w:val="uk-UA"/>
        </w:rPr>
        <w:t>системні зміни до Кримінального процесуального кодексу України щодо підвищення ефективності досудового розслідування на основі, яких розроблено даний Законопроект.</w:t>
      </w:r>
      <w:r w:rsidRPr="00DF482B">
        <w:rPr>
          <w:b w:val="0"/>
          <w:sz w:val="28"/>
          <w:szCs w:val="28"/>
          <w:lang w:val="uk-UA" w:eastAsia="ar-SA"/>
        </w:rPr>
        <w:t xml:space="preserve"> </w:t>
      </w:r>
    </w:p>
    <w:p w:rsidR="00DF482B" w:rsidRPr="00DF482B" w:rsidP="00DF482B">
      <w:pPr>
        <w:suppressAutoHyphens/>
        <w:ind w:firstLine="567"/>
        <w:jc w:val="both"/>
        <w:rPr>
          <w:b w:val="0"/>
          <w:sz w:val="28"/>
          <w:szCs w:val="28"/>
          <w:lang w:val="uk-UA" w:eastAsia="ar-SA"/>
        </w:rPr>
      </w:pPr>
      <w:r w:rsidRPr="00DF482B">
        <w:rPr>
          <w:b w:val="0"/>
          <w:sz w:val="28"/>
          <w:szCs w:val="28"/>
          <w:lang w:val="uk-UA" w:eastAsia="ar-SA"/>
        </w:rPr>
        <w:t xml:space="preserve">Законопроект передбачає сучасні інструменти для боротьби зі злочинністю, підвищення оперативності та ефективності </w:t>
      </w:r>
      <w:r w:rsidRPr="00DF482B">
        <w:rPr>
          <w:rFonts w:ascii="Cambria" w:hAnsi="Cambria" w:cs="Cambria"/>
          <w:b w:val="0"/>
          <w:sz w:val="28"/>
          <w:szCs w:val="28"/>
          <w:lang w:val="uk-UA"/>
        </w:rPr>
        <w:t>досудового розслідування</w:t>
      </w:r>
      <w:r w:rsidRPr="00DF482B">
        <w:rPr>
          <w:b w:val="0"/>
          <w:sz w:val="28"/>
          <w:szCs w:val="28"/>
          <w:lang w:val="uk-UA" w:eastAsia="ar-SA"/>
        </w:rPr>
        <w:t>, а з іншого, сприяє утвердженню гарантій прав людини та надає їй значні можливості для захисту своїх прав, свобод та інтересів.</w:t>
      </w:r>
    </w:p>
    <w:p w:rsidR="007249C0" w:rsidRPr="0009042F" w:rsidP="00011958">
      <w:pPr>
        <w:shd w:val="clear" w:color="auto" w:fill="FFFFFF"/>
        <w:ind w:firstLine="567"/>
        <w:jc w:val="both"/>
        <w:rPr>
          <w:b w:val="0"/>
          <w:color w:val="000000"/>
          <w:spacing w:val="-1"/>
          <w:sz w:val="28"/>
          <w:szCs w:val="28"/>
          <w:lang w:val="uk-UA"/>
        </w:rPr>
      </w:pPr>
      <w:r w:rsidR="007A3308">
        <w:rPr>
          <w:b w:val="0"/>
          <w:sz w:val="28"/>
          <w:szCs w:val="28"/>
          <w:lang w:val="uk-UA"/>
        </w:rPr>
        <w:t xml:space="preserve"> </w:t>
      </w:r>
    </w:p>
    <w:p w:rsidR="008C51C9" w:rsidP="00011958">
      <w:pPr>
        <w:ind w:firstLine="567"/>
        <w:jc w:val="both"/>
        <w:rPr>
          <w:color w:val="000000"/>
          <w:spacing w:val="-1"/>
          <w:sz w:val="28"/>
          <w:szCs w:val="28"/>
          <w:lang w:val="uk-UA"/>
        </w:rPr>
      </w:pPr>
      <w:r w:rsidRPr="0009042F">
        <w:rPr>
          <w:sz w:val="28"/>
          <w:szCs w:val="28"/>
          <w:lang w:val="uk-UA"/>
        </w:rPr>
        <w:t xml:space="preserve">2. </w:t>
      </w:r>
      <w:r w:rsidRPr="0009042F">
        <w:rPr>
          <w:color w:val="000000"/>
          <w:spacing w:val="-1"/>
          <w:sz w:val="28"/>
          <w:szCs w:val="28"/>
          <w:lang w:val="uk-UA"/>
        </w:rPr>
        <w:t>Цілі</w:t>
      </w:r>
      <w:r w:rsidR="000860C9">
        <w:rPr>
          <w:color w:val="000000"/>
          <w:spacing w:val="-1"/>
          <w:sz w:val="28"/>
          <w:szCs w:val="28"/>
          <w:lang w:val="uk-UA"/>
        </w:rPr>
        <w:t xml:space="preserve"> і завдання прийняття законопроє</w:t>
      </w:r>
      <w:r w:rsidRPr="0009042F">
        <w:rPr>
          <w:color w:val="000000"/>
          <w:spacing w:val="-1"/>
          <w:sz w:val="28"/>
          <w:szCs w:val="28"/>
          <w:lang w:val="uk-UA"/>
        </w:rPr>
        <w:t>кту</w:t>
      </w:r>
    </w:p>
    <w:p w:rsidR="00CC2626" w:rsidP="009C5045">
      <w:pPr>
        <w:ind w:firstLine="567"/>
        <w:jc w:val="both"/>
        <w:rPr>
          <w:b w:val="0"/>
          <w:sz w:val="28"/>
          <w:szCs w:val="28"/>
          <w:lang w:val="uk-UA"/>
        </w:rPr>
      </w:pPr>
      <w:r w:rsidRPr="00DF482B" w:rsidR="00DF482B">
        <w:rPr>
          <w:b w:val="0"/>
          <w:sz w:val="28"/>
          <w:szCs w:val="28"/>
          <w:lang w:val="uk-UA"/>
        </w:rPr>
        <w:t xml:space="preserve">Законопроєкт спрямований на удосконалення правового регулювання кримінального процесу. </w:t>
      </w:r>
      <w:r w:rsidR="009C5045">
        <w:rPr>
          <w:b w:val="0"/>
          <w:sz w:val="28"/>
          <w:szCs w:val="28"/>
          <w:lang w:val="uk-UA"/>
        </w:rPr>
        <w:t xml:space="preserve">Запропоновані зміни посилюють дієвість досудового розслідування, принцип змагальності, посилює механізми захисту прав як потерпілих, так і підозрюваних (обвинувачених).  </w:t>
      </w:r>
    </w:p>
    <w:p w:rsidR="009C5045" w:rsidRPr="0009042F" w:rsidP="009C5045">
      <w:pPr>
        <w:ind w:firstLine="567"/>
        <w:jc w:val="both"/>
        <w:rPr>
          <w:b w:val="0"/>
          <w:sz w:val="28"/>
          <w:szCs w:val="28"/>
          <w:lang w:val="uk-UA"/>
        </w:rPr>
      </w:pPr>
    </w:p>
    <w:p w:rsidR="00BE72B6" w:rsidP="00BE72B6">
      <w:pPr>
        <w:numPr>
          <w:ilvl w:val="0"/>
          <w:numId w:val="3"/>
        </w:numPr>
        <w:shd w:val="clear" w:color="auto" w:fill="FFFFFF"/>
        <w:tabs>
          <w:tab w:val="left" w:pos="993"/>
        </w:tabs>
        <w:ind w:left="0" w:firstLine="567"/>
        <w:jc w:val="both"/>
        <w:rPr>
          <w:color w:val="000000"/>
          <w:spacing w:val="-1"/>
          <w:sz w:val="28"/>
          <w:szCs w:val="28"/>
          <w:lang w:val="uk-UA"/>
        </w:rPr>
      </w:pPr>
      <w:r w:rsidRPr="0009042F" w:rsidR="008C51C9">
        <w:rPr>
          <w:color w:val="000000"/>
          <w:spacing w:val="-1"/>
          <w:sz w:val="28"/>
          <w:szCs w:val="28"/>
          <w:lang w:val="uk-UA"/>
        </w:rPr>
        <w:t>Загальна характеристика та</w:t>
      </w:r>
      <w:r w:rsidRPr="0009042F" w:rsidR="0016694E">
        <w:rPr>
          <w:color w:val="000000"/>
          <w:spacing w:val="-1"/>
          <w:sz w:val="28"/>
          <w:szCs w:val="28"/>
          <w:lang w:val="uk-UA"/>
        </w:rPr>
        <w:t xml:space="preserve"> основні положення законопроекту</w:t>
      </w:r>
    </w:p>
    <w:p w:rsidR="00BE72B6" w:rsidRPr="00EE223F" w:rsidP="00EE223F">
      <w:pPr>
        <w:shd w:val="clear" w:color="auto" w:fill="FFFFFF"/>
        <w:tabs>
          <w:tab w:val="left" w:pos="993"/>
        </w:tabs>
        <w:ind w:firstLine="567"/>
        <w:jc w:val="both"/>
        <w:rPr>
          <w:b w:val="0"/>
          <w:color w:val="000000"/>
          <w:spacing w:val="-1"/>
          <w:sz w:val="28"/>
          <w:szCs w:val="28"/>
          <w:lang w:val="uk-UA"/>
        </w:rPr>
      </w:pPr>
      <w:r w:rsidRPr="00EE223F" w:rsidR="006D04FC">
        <w:rPr>
          <w:b w:val="0"/>
          <w:bCs w:val="0"/>
          <w:spacing w:val="3"/>
          <w:sz w:val="28"/>
          <w:szCs w:val="28"/>
          <w:lang w:val="uk-UA"/>
        </w:rPr>
        <w:t>Законопроєктом вносяться зміни до Кримінального процесуального кодексу України. Основними положеннями законопроєкту є наступні:</w:t>
      </w:r>
    </w:p>
    <w:p w:rsidR="00900933"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sidRPr="00EE223F" w:rsidR="00AD10A9">
        <w:rPr>
          <w:b w:val="0"/>
          <w:color w:val="000000"/>
          <w:spacing w:val="-1"/>
          <w:sz w:val="28"/>
          <w:szCs w:val="28"/>
          <w:lang w:val="uk-UA"/>
        </w:rPr>
        <w:t>нарешті з’являється поняття обґрунтованої підозри;</w:t>
      </w:r>
    </w:p>
    <w:p w:rsidR="00AD10A9"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sidRPr="00EE223F">
        <w:rPr>
          <w:b w:val="0"/>
          <w:color w:val="000000"/>
          <w:spacing w:val="-1"/>
          <w:sz w:val="28"/>
          <w:szCs w:val="28"/>
          <w:lang w:val="uk-UA"/>
        </w:rPr>
        <w:t>спрощується процедура обрання запобіжного заходу у вигляді особистого зобов’язання;</w:t>
      </w:r>
    </w:p>
    <w:p w:rsidR="00EE223F"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sidR="0083718A">
        <w:rPr>
          <w:b w:val="0"/>
          <w:color w:val="000000"/>
          <w:spacing w:val="-1"/>
          <w:sz w:val="28"/>
          <w:szCs w:val="28"/>
          <w:lang w:val="uk-UA"/>
        </w:rPr>
        <w:t>приводи</w:t>
      </w:r>
      <w:r w:rsidRPr="00EE223F" w:rsidR="00C646B7">
        <w:rPr>
          <w:b w:val="0"/>
          <w:color w:val="000000"/>
          <w:spacing w:val="-1"/>
          <w:sz w:val="28"/>
          <w:szCs w:val="28"/>
          <w:lang w:val="uk-UA"/>
        </w:rPr>
        <w:t xml:space="preserve">ться у відповідність </w:t>
      </w:r>
      <w:r w:rsidRPr="00EE223F">
        <w:rPr>
          <w:b w:val="0"/>
          <w:color w:val="000000"/>
          <w:spacing w:val="-1"/>
          <w:sz w:val="28"/>
          <w:szCs w:val="28"/>
          <w:lang w:val="uk-UA"/>
        </w:rPr>
        <w:t>поняття електронні документи, відповідно до</w:t>
      </w:r>
      <w:r w:rsidRPr="00EE223F">
        <w:rPr>
          <w:b w:val="0"/>
          <w:sz w:val="28"/>
          <w:szCs w:val="28"/>
          <w:lang w:val="uk-UA"/>
        </w:rPr>
        <w:t xml:space="preserve"> Закону України «Про електронні документи та електронний документообіг»;</w:t>
      </w:r>
    </w:p>
    <w:p w:rsidR="00EE223F"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Pr>
          <w:b w:val="0"/>
          <w:sz w:val="28"/>
          <w:szCs w:val="28"/>
          <w:lang w:val="uk-UA"/>
        </w:rPr>
        <w:t>розширюються права потерпілого під час обрання запобіжного заходу підозрюваному, обвинуваченому;</w:t>
      </w:r>
    </w:p>
    <w:p w:rsidR="00EE223F"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Pr>
          <w:b w:val="0"/>
          <w:sz w:val="28"/>
          <w:szCs w:val="28"/>
          <w:lang w:val="uk-UA"/>
        </w:rPr>
        <w:t xml:space="preserve">розширюється перелік невідкладних слідчих дій, які можливо проводити до внесення відомостей про вчинене кримінальне правопорушення до </w:t>
      </w:r>
      <w:r w:rsidR="0083718A">
        <w:rPr>
          <w:b w:val="0"/>
          <w:sz w:val="28"/>
          <w:szCs w:val="28"/>
          <w:lang w:val="uk-UA"/>
        </w:rPr>
        <w:t>Єдиного реєстру досудових розслідувань;</w:t>
      </w:r>
      <w:r>
        <w:rPr>
          <w:b w:val="0"/>
          <w:sz w:val="28"/>
          <w:szCs w:val="28"/>
          <w:lang w:val="uk-UA"/>
        </w:rPr>
        <w:t xml:space="preserve"> </w:t>
      </w:r>
    </w:p>
    <w:p w:rsidR="00AD10A9" w:rsidRPr="00EE223F" w:rsidP="00EE223F">
      <w:pPr>
        <w:numPr>
          <w:ilvl w:val="0"/>
          <w:numId w:val="7"/>
        </w:numPr>
        <w:shd w:val="clear" w:color="auto" w:fill="FFFFFF"/>
        <w:tabs>
          <w:tab w:val="left" w:pos="993"/>
        </w:tabs>
        <w:ind w:left="0" w:firstLine="567"/>
        <w:jc w:val="both"/>
        <w:rPr>
          <w:b w:val="0"/>
          <w:color w:val="000000"/>
          <w:spacing w:val="-1"/>
          <w:sz w:val="28"/>
          <w:szCs w:val="28"/>
          <w:lang w:val="uk-UA"/>
        </w:rPr>
      </w:pPr>
      <w:r w:rsidRPr="00EE223F" w:rsidR="00EE223F">
        <w:rPr>
          <w:b w:val="0"/>
          <w:color w:val="000000"/>
          <w:spacing w:val="-1"/>
          <w:sz w:val="28"/>
          <w:szCs w:val="28"/>
          <w:lang w:val="uk-UA"/>
        </w:rPr>
        <w:t xml:space="preserve">оскарження </w:t>
      </w:r>
      <w:r w:rsidRPr="00EE223F" w:rsidR="00EE223F">
        <w:rPr>
          <w:b w:val="0"/>
          <w:sz w:val="28"/>
          <w:szCs w:val="28"/>
          <w:lang w:val="uk-UA"/>
        </w:rPr>
        <w:t>рішень чи дій слідчого або прокурора під час досудового розслідування, які прийнято або вчинено у спосіб, який не передбачений цим Кодексом.</w:t>
      </w:r>
      <w:r w:rsidRPr="00EE223F">
        <w:rPr>
          <w:b w:val="0"/>
          <w:color w:val="000000"/>
          <w:spacing w:val="-1"/>
          <w:sz w:val="28"/>
          <w:szCs w:val="28"/>
          <w:lang w:val="uk-UA"/>
        </w:rPr>
        <w:t xml:space="preserve">   </w:t>
      </w:r>
    </w:p>
    <w:p w:rsidR="00C55BA3" w:rsidRPr="0009042F" w:rsidP="00BE72B6">
      <w:pPr>
        <w:shd w:val="clear" w:color="auto" w:fill="FFFFFF"/>
        <w:tabs>
          <w:tab w:val="left" w:pos="993"/>
        </w:tabs>
        <w:ind w:firstLine="567"/>
        <w:jc w:val="both"/>
        <w:rPr>
          <w:sz w:val="28"/>
          <w:szCs w:val="28"/>
          <w:lang w:val="uk-UA"/>
        </w:rPr>
      </w:pPr>
    </w:p>
    <w:p w:rsidR="0083718A" w:rsidP="00011958">
      <w:pPr>
        <w:shd w:val="clear" w:color="auto" w:fill="FFFFFF"/>
        <w:tabs>
          <w:tab w:val="left" w:pos="993"/>
        </w:tabs>
        <w:ind w:firstLine="567"/>
        <w:jc w:val="both"/>
        <w:rPr>
          <w:sz w:val="28"/>
          <w:szCs w:val="28"/>
          <w:lang w:val="uk-UA"/>
        </w:rPr>
      </w:pPr>
    </w:p>
    <w:p w:rsidR="0083718A" w:rsidP="00011958">
      <w:pPr>
        <w:shd w:val="clear" w:color="auto" w:fill="FFFFFF"/>
        <w:tabs>
          <w:tab w:val="left" w:pos="993"/>
        </w:tabs>
        <w:ind w:firstLine="567"/>
        <w:jc w:val="both"/>
        <w:rPr>
          <w:sz w:val="28"/>
          <w:szCs w:val="28"/>
          <w:lang w:val="uk-UA"/>
        </w:rPr>
      </w:pPr>
    </w:p>
    <w:p w:rsidR="008C51C9" w:rsidRPr="0009042F" w:rsidP="00011958">
      <w:pPr>
        <w:shd w:val="clear" w:color="auto" w:fill="FFFFFF"/>
        <w:tabs>
          <w:tab w:val="left" w:pos="993"/>
        </w:tabs>
        <w:ind w:firstLine="567"/>
        <w:jc w:val="both"/>
        <w:rPr>
          <w:sz w:val="28"/>
          <w:szCs w:val="28"/>
          <w:lang w:val="uk-UA"/>
        </w:rPr>
      </w:pPr>
      <w:r w:rsidRPr="0009042F" w:rsidR="00A935F0">
        <w:rPr>
          <w:sz w:val="28"/>
          <w:szCs w:val="28"/>
          <w:lang w:val="uk-UA"/>
        </w:rPr>
        <w:t xml:space="preserve">4. </w:t>
      </w:r>
      <w:r w:rsidRPr="0009042F">
        <w:rPr>
          <w:sz w:val="28"/>
          <w:szCs w:val="28"/>
          <w:lang w:val="uk-UA"/>
        </w:rPr>
        <w:t xml:space="preserve">Стан нормативно-правової бази у </w:t>
      </w:r>
      <w:r w:rsidRPr="0009042F" w:rsidR="001909E5">
        <w:rPr>
          <w:sz w:val="28"/>
          <w:szCs w:val="28"/>
          <w:lang w:val="uk-UA"/>
        </w:rPr>
        <w:t>ц</w:t>
      </w:r>
      <w:r w:rsidRPr="0009042F">
        <w:rPr>
          <w:sz w:val="28"/>
          <w:szCs w:val="28"/>
          <w:lang w:val="uk-UA"/>
        </w:rPr>
        <w:t>ій сфері правового регулювання</w:t>
      </w:r>
    </w:p>
    <w:p w:rsidR="00F728F0" w:rsidRPr="0009042F" w:rsidP="00011958">
      <w:pPr>
        <w:pStyle w:val="BodyText"/>
        <w:ind w:firstLine="567"/>
        <w:rPr>
          <w:rFonts w:ascii="Times New Roman" w:hAnsi="Times New Roman"/>
        </w:rPr>
      </w:pPr>
      <w:r w:rsidRPr="0009042F" w:rsidR="008C51C9">
        <w:rPr>
          <w:rFonts w:ascii="Times New Roman" w:hAnsi="Times New Roman"/>
        </w:rPr>
        <w:t xml:space="preserve">Основними нормативно-правовими актами у </w:t>
      </w:r>
      <w:r w:rsidRPr="0009042F" w:rsidR="001909E5">
        <w:rPr>
          <w:rFonts w:ascii="Times New Roman" w:hAnsi="Times New Roman"/>
        </w:rPr>
        <w:t>ц</w:t>
      </w:r>
      <w:r w:rsidRPr="0009042F" w:rsidR="008C51C9">
        <w:rPr>
          <w:rFonts w:ascii="Times New Roman" w:hAnsi="Times New Roman"/>
        </w:rPr>
        <w:t>ій сфері правового регулювання є</w:t>
      </w:r>
      <w:r w:rsidR="00DF482B">
        <w:rPr>
          <w:rFonts w:ascii="Times New Roman" w:hAnsi="Times New Roman"/>
        </w:rPr>
        <w:t xml:space="preserve"> Конституція України,</w:t>
      </w:r>
      <w:r w:rsidR="006D04FC">
        <w:rPr>
          <w:rFonts w:ascii="Times New Roman" w:hAnsi="Times New Roman"/>
        </w:rPr>
        <w:t xml:space="preserve"> Кримінальний та</w:t>
      </w:r>
      <w:r w:rsidR="00D27116">
        <w:rPr>
          <w:rFonts w:ascii="Times New Roman" w:hAnsi="Times New Roman"/>
        </w:rPr>
        <w:t xml:space="preserve"> </w:t>
      </w:r>
      <w:r w:rsidRPr="0009042F" w:rsidR="005B3E7E">
        <w:rPr>
          <w:rFonts w:ascii="Times New Roman" w:hAnsi="Times New Roman"/>
        </w:rPr>
        <w:t>Кримінальний процесуальний кодекс</w:t>
      </w:r>
      <w:r w:rsidR="006D04FC">
        <w:rPr>
          <w:rFonts w:ascii="Times New Roman" w:hAnsi="Times New Roman"/>
        </w:rPr>
        <w:t>и</w:t>
      </w:r>
      <w:r w:rsidRPr="0009042F" w:rsidR="005B3E7E">
        <w:rPr>
          <w:rFonts w:ascii="Times New Roman" w:hAnsi="Times New Roman"/>
        </w:rPr>
        <w:t xml:space="preserve"> Укр</w:t>
      </w:r>
      <w:r w:rsidRPr="0009042F" w:rsidR="005C080C">
        <w:rPr>
          <w:rFonts w:ascii="Times New Roman" w:hAnsi="Times New Roman"/>
        </w:rPr>
        <w:t>а</w:t>
      </w:r>
      <w:r w:rsidRPr="0009042F" w:rsidR="005B3E7E">
        <w:rPr>
          <w:rFonts w:ascii="Times New Roman" w:hAnsi="Times New Roman"/>
        </w:rPr>
        <w:t>їни</w:t>
      </w:r>
      <w:r w:rsidRPr="0009042F">
        <w:rPr>
          <w:rFonts w:ascii="Times New Roman" w:hAnsi="Times New Roman"/>
        </w:rPr>
        <w:t>.</w:t>
      </w:r>
    </w:p>
    <w:p w:rsidR="00DF482B" w:rsidRPr="00DF482B" w:rsidP="00DF482B">
      <w:pPr>
        <w:ind w:firstLine="567"/>
        <w:jc w:val="both"/>
        <w:rPr>
          <w:b w:val="0"/>
          <w:sz w:val="28"/>
          <w:szCs w:val="28"/>
          <w:lang w:val="uk-UA"/>
        </w:rPr>
      </w:pPr>
      <w:r>
        <w:rPr>
          <w:b w:val="0"/>
          <w:sz w:val="28"/>
          <w:szCs w:val="28"/>
          <w:lang w:val="uk-UA"/>
        </w:rPr>
        <w:t>Прийняття проє</w:t>
      </w:r>
      <w:r w:rsidRPr="00DF482B">
        <w:rPr>
          <w:b w:val="0"/>
          <w:sz w:val="28"/>
          <w:szCs w:val="28"/>
          <w:lang w:val="uk-UA"/>
        </w:rPr>
        <w:t>кту додатково не потребує внесення змін до Законів України.</w:t>
      </w:r>
    </w:p>
    <w:p w:rsidR="008C51C9" w:rsidRPr="0009042F" w:rsidP="00011958">
      <w:pPr>
        <w:shd w:val="clear" w:color="auto" w:fill="FFFFFF"/>
        <w:ind w:firstLine="567"/>
        <w:jc w:val="both"/>
        <w:rPr>
          <w:b w:val="0"/>
          <w:sz w:val="28"/>
          <w:szCs w:val="28"/>
          <w:lang w:val="uk-UA"/>
        </w:rPr>
      </w:pPr>
    </w:p>
    <w:p w:rsidR="008C51C9" w:rsidRPr="0009042F" w:rsidP="00011958">
      <w:pPr>
        <w:numPr>
          <w:ilvl w:val="0"/>
          <w:numId w:val="2"/>
        </w:numPr>
        <w:shd w:val="clear" w:color="auto" w:fill="FFFFFF"/>
        <w:ind w:left="0" w:firstLine="567"/>
        <w:jc w:val="both"/>
        <w:rPr>
          <w:color w:val="000000"/>
          <w:spacing w:val="-1"/>
          <w:sz w:val="28"/>
          <w:szCs w:val="28"/>
          <w:lang w:val="uk-UA"/>
        </w:rPr>
      </w:pPr>
      <w:r w:rsidRPr="0009042F">
        <w:rPr>
          <w:color w:val="000000"/>
          <w:spacing w:val="-1"/>
          <w:sz w:val="28"/>
          <w:szCs w:val="28"/>
          <w:lang w:val="uk-UA"/>
        </w:rPr>
        <w:t>Фінансово-економічне обґрунтування</w:t>
      </w:r>
    </w:p>
    <w:p w:rsidR="00FA524D" w:rsidRPr="0009042F" w:rsidP="00011958">
      <w:pPr>
        <w:pStyle w:val="BodyTextIndent"/>
        <w:spacing w:after="0"/>
        <w:ind w:left="0" w:firstLine="709"/>
        <w:jc w:val="both"/>
        <w:rPr>
          <w:b w:val="0"/>
          <w:sz w:val="28"/>
          <w:szCs w:val="28"/>
          <w:lang w:val="uk-UA"/>
        </w:rPr>
      </w:pPr>
      <w:r w:rsidR="00BE72B6">
        <w:rPr>
          <w:b w:val="0"/>
          <w:sz w:val="28"/>
          <w:szCs w:val="28"/>
          <w:lang w:val="uk-UA"/>
        </w:rPr>
        <w:t>Прийняття цього законопроєкту</w:t>
      </w:r>
      <w:r w:rsidRPr="0009042F">
        <w:rPr>
          <w:b w:val="0"/>
          <w:sz w:val="28"/>
          <w:szCs w:val="28"/>
          <w:lang w:val="uk-UA"/>
        </w:rPr>
        <w:t xml:space="preserve"> не потребує додаткових фінансових витрат з Державного бюджету</w:t>
      </w:r>
      <w:r w:rsidRPr="0009042F" w:rsidR="001909E5">
        <w:rPr>
          <w:b w:val="0"/>
          <w:sz w:val="28"/>
          <w:szCs w:val="28"/>
          <w:lang w:val="uk-UA"/>
        </w:rPr>
        <w:t xml:space="preserve"> України</w:t>
      </w:r>
      <w:r w:rsidRPr="0009042F">
        <w:rPr>
          <w:b w:val="0"/>
          <w:sz w:val="28"/>
          <w:szCs w:val="28"/>
          <w:lang w:val="uk-UA"/>
        </w:rPr>
        <w:t>.</w:t>
      </w:r>
    </w:p>
    <w:p w:rsidR="008C51C9" w:rsidRPr="0009042F" w:rsidP="00011958">
      <w:pPr>
        <w:shd w:val="clear" w:color="auto" w:fill="FFFFFF"/>
        <w:tabs>
          <w:tab w:val="left" w:pos="840"/>
        </w:tabs>
        <w:ind w:firstLine="567"/>
        <w:jc w:val="both"/>
        <w:rPr>
          <w:b w:val="0"/>
          <w:bCs w:val="0"/>
          <w:color w:val="000000"/>
          <w:spacing w:val="-6"/>
          <w:sz w:val="28"/>
          <w:szCs w:val="28"/>
          <w:lang w:val="uk-UA"/>
        </w:rPr>
      </w:pPr>
    </w:p>
    <w:p w:rsidR="008C51C9" w:rsidRPr="0009042F" w:rsidP="00011958">
      <w:pPr>
        <w:numPr>
          <w:ilvl w:val="0"/>
          <w:numId w:val="2"/>
        </w:numPr>
        <w:shd w:val="clear" w:color="auto" w:fill="FFFFFF"/>
        <w:tabs>
          <w:tab w:val="num" w:pos="0"/>
          <w:tab w:val="left" w:pos="540"/>
        </w:tabs>
        <w:ind w:left="0" w:firstLine="567"/>
        <w:jc w:val="both"/>
        <w:rPr>
          <w:color w:val="000000"/>
          <w:spacing w:val="-1"/>
          <w:sz w:val="28"/>
          <w:szCs w:val="28"/>
          <w:lang w:val="uk-UA"/>
        </w:rPr>
      </w:pPr>
      <w:r w:rsidRPr="0009042F">
        <w:rPr>
          <w:color w:val="000000"/>
          <w:spacing w:val="-1"/>
          <w:sz w:val="28"/>
          <w:szCs w:val="28"/>
          <w:lang w:val="uk-UA"/>
        </w:rPr>
        <w:t xml:space="preserve">Прогноз соціально-економічних, правових та інших наслідків прийняття </w:t>
      </w:r>
      <w:r w:rsidRPr="0009042F" w:rsidR="0016694E">
        <w:rPr>
          <w:color w:val="000000"/>
          <w:spacing w:val="-1"/>
          <w:sz w:val="28"/>
          <w:szCs w:val="28"/>
          <w:lang w:val="uk-UA"/>
        </w:rPr>
        <w:t>акта</w:t>
      </w:r>
    </w:p>
    <w:p w:rsidR="00DF482B" w:rsidRPr="00DF482B" w:rsidP="00DF482B">
      <w:pPr>
        <w:ind w:firstLine="567"/>
        <w:jc w:val="both"/>
        <w:rPr>
          <w:b w:val="0"/>
          <w:sz w:val="28"/>
          <w:szCs w:val="28"/>
          <w:lang w:val="uk-UA"/>
        </w:rPr>
      </w:pPr>
      <w:r w:rsidRPr="00DF482B">
        <w:rPr>
          <w:b w:val="0"/>
          <w:sz w:val="28"/>
          <w:szCs w:val="28"/>
          <w:lang w:val="uk-UA"/>
        </w:rPr>
        <w:t>Прийняття Законопроекту забезпечить приведення кримінального процесуального закону у відповідність до європейських стандартів кримінального судочинства з метою охорони прав, свобод та законних інтересів учасників кримінального провадження, а також забезпечення реалізації швидкого, повного та неупередженого досудового розслідування та зменшення рівня зловживань в цьому питанні.</w:t>
      </w:r>
    </w:p>
    <w:p w:rsidR="002F2B22" w:rsidP="0044789E">
      <w:pPr>
        <w:ind w:firstLine="567"/>
        <w:jc w:val="both"/>
        <w:rPr>
          <w:b w:val="0"/>
          <w:bCs w:val="0"/>
          <w:spacing w:val="1"/>
          <w:sz w:val="28"/>
          <w:szCs w:val="28"/>
          <w:lang w:val="uk-UA"/>
        </w:rPr>
      </w:pPr>
    </w:p>
    <w:p w:rsidR="00DF482B" w:rsidRPr="0009042F" w:rsidP="0044789E">
      <w:pPr>
        <w:ind w:firstLine="567"/>
        <w:jc w:val="both"/>
        <w:rPr>
          <w:b w:val="0"/>
          <w:bCs w:val="0"/>
          <w:spacing w:val="1"/>
          <w:sz w:val="28"/>
          <w:szCs w:val="28"/>
          <w:lang w:val="uk-UA"/>
        </w:rPr>
      </w:pPr>
    </w:p>
    <w:p w:rsidR="002F2B22" w:rsidRPr="0009042F" w:rsidP="0044789E">
      <w:pPr>
        <w:ind w:firstLine="567"/>
        <w:jc w:val="both"/>
        <w:rPr>
          <w:b w:val="0"/>
          <w:bCs w:val="0"/>
          <w:spacing w:val="1"/>
          <w:sz w:val="28"/>
          <w:szCs w:val="28"/>
          <w:lang w:val="uk-UA"/>
        </w:rPr>
      </w:pPr>
    </w:p>
    <w:p w:rsidR="005B27FF" w:rsidRPr="0083718A" w:rsidP="005B27FF">
      <w:pPr>
        <w:ind w:firstLine="567"/>
        <w:jc w:val="both"/>
        <w:rPr>
          <w:sz w:val="28"/>
          <w:szCs w:val="28"/>
          <w:lang w:val="uk-UA"/>
        </w:rPr>
      </w:pPr>
      <w:r w:rsidRPr="0009042F" w:rsidR="002F2B22">
        <w:rPr>
          <w:bCs w:val="0"/>
          <w:spacing w:val="1"/>
          <w:sz w:val="28"/>
          <w:szCs w:val="28"/>
          <w:lang w:val="uk-UA"/>
        </w:rPr>
        <w:t>Народні депутати України</w:t>
        <w:tab/>
        <w:tab/>
        <w:tab/>
        <w:tab/>
      </w:r>
      <w:r w:rsidR="0083718A">
        <w:rPr>
          <w:bCs w:val="0"/>
          <w:spacing w:val="1"/>
          <w:sz w:val="28"/>
          <w:szCs w:val="28"/>
          <w:lang w:val="uk-UA"/>
        </w:rPr>
        <w:t xml:space="preserve">     </w:t>
      </w:r>
      <w:r w:rsidRPr="0083718A" w:rsidR="0083718A">
        <w:rPr>
          <w:bCs w:val="0"/>
          <w:spacing w:val="1"/>
          <w:sz w:val="28"/>
          <w:szCs w:val="28"/>
          <w:lang w:val="uk-UA"/>
        </w:rPr>
        <w:t xml:space="preserve"> </w:t>
      </w:r>
      <w:r w:rsidRPr="0083718A">
        <w:rPr>
          <w:sz w:val="28"/>
          <w:szCs w:val="28"/>
        </w:rPr>
        <w:t>Яцик Ю.Г.</w:t>
      </w:r>
      <w:r w:rsidRPr="0083718A" w:rsidR="0083718A">
        <w:rPr>
          <w:sz w:val="28"/>
          <w:szCs w:val="28"/>
          <w:lang w:val="uk-UA"/>
        </w:rPr>
        <w:t xml:space="preserve">    </w:t>
      </w:r>
    </w:p>
    <w:p w:rsidR="00BE72B6" w:rsidRPr="0083718A" w:rsidP="00BE72B6">
      <w:pPr>
        <w:spacing w:after="40"/>
        <w:ind w:left="6379"/>
        <w:rPr>
          <w:sz w:val="28"/>
          <w:szCs w:val="28"/>
          <w:lang w:eastAsia="uk-UA"/>
        </w:rPr>
      </w:pPr>
      <w:r w:rsidRPr="0083718A" w:rsidR="0083718A">
        <w:rPr>
          <w:sz w:val="28"/>
          <w:szCs w:val="28"/>
          <w:lang w:val="uk-UA" w:eastAsia="uk-UA"/>
        </w:rPr>
        <w:t xml:space="preserve">      </w:t>
      </w:r>
      <w:r w:rsidRPr="0083718A">
        <w:rPr>
          <w:sz w:val="28"/>
          <w:szCs w:val="28"/>
          <w:lang w:eastAsia="uk-UA"/>
        </w:rPr>
        <w:t>Мамка Г.М.</w:t>
      </w:r>
    </w:p>
    <w:p w:rsidR="005B27FF" w:rsidRPr="0083718A" w:rsidP="005B27FF">
      <w:pPr>
        <w:spacing w:after="40"/>
        <w:rPr>
          <w:sz w:val="28"/>
          <w:szCs w:val="28"/>
          <w:lang w:eastAsia="uk-UA"/>
        </w:rPr>
      </w:pPr>
      <w:r w:rsidRPr="0083718A">
        <w:rPr>
          <w:sz w:val="28"/>
          <w:szCs w:val="28"/>
          <w:lang w:eastAsia="uk-UA"/>
        </w:rPr>
        <w:tab/>
        <w:tab/>
        <w:tab/>
        <w:tab/>
        <w:tab/>
        <w:tab/>
        <w:tab/>
        <w:tab/>
        <w:tab/>
      </w:r>
      <w:r w:rsidRPr="0083718A" w:rsidR="0083718A">
        <w:rPr>
          <w:sz w:val="28"/>
          <w:szCs w:val="28"/>
          <w:lang w:val="uk-UA" w:eastAsia="uk-UA"/>
        </w:rPr>
        <w:t xml:space="preserve">      </w:t>
      </w:r>
      <w:r w:rsidRPr="0083718A">
        <w:rPr>
          <w:sz w:val="28"/>
          <w:szCs w:val="28"/>
          <w:lang w:eastAsia="uk-UA"/>
        </w:rPr>
        <w:t>Бакумов О.С.</w:t>
      </w:r>
    </w:p>
    <w:p w:rsidR="00D27116" w:rsidRPr="00BE72B6" w:rsidP="00D27116">
      <w:pPr>
        <w:ind w:left="6660"/>
        <w:jc w:val="both"/>
        <w:rPr>
          <w:bCs w:val="0"/>
          <w:spacing w:val="1"/>
          <w:sz w:val="28"/>
          <w:szCs w:val="28"/>
          <w:lang w:val="uk-UA"/>
        </w:rPr>
      </w:pPr>
      <w:r w:rsidRPr="0083718A" w:rsidR="00BE72B6">
        <w:rPr>
          <w:sz w:val="28"/>
          <w:szCs w:val="28"/>
          <w:lang w:val="uk-UA" w:eastAsia="uk-UA"/>
        </w:rPr>
        <w:t xml:space="preserve"> </w:t>
      </w:r>
    </w:p>
    <w:p w:rsidR="007F193A" w:rsidRPr="0009042F" w:rsidP="007F193A">
      <w:pPr>
        <w:ind w:firstLine="567"/>
        <w:jc w:val="right"/>
        <w:rPr>
          <w:sz w:val="28"/>
          <w:szCs w:val="28"/>
          <w:lang w:val="uk-UA" w:eastAsia="uk-UA"/>
        </w:rPr>
      </w:pPr>
    </w:p>
    <w:sectPr w:rsidSect="00EF756A">
      <w:headerReference w:type="even" r:id="rId4"/>
      <w:headerReference w:type="default" r:id="rId5"/>
      <w:pgSz w:w="11906" w:h="16838"/>
      <w:pgMar w:top="1134" w:right="851" w:bottom="113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0000000000000000000"/>
    <w:charset w:val="CC"/>
    <w:family w:val="swiss"/>
    <w:pitch w:val="variable"/>
    <w:sig w:usb0="E0002AFF" w:usb1="C0007843" w:usb2="00000009" w:usb3="00000000" w:csb0="000001FF" w:csb1="00000000"/>
  </w:font>
  <w:font w:name="Cambria">
    <w:panose1 w:val="00000000000000000000"/>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6B7" w:rsidP="008C51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C646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6B7" w:rsidRPr="00D464DB" w:rsidP="008C51C9">
    <w:pPr>
      <w:pStyle w:val="Header"/>
      <w:framePr w:wrap="around" w:vAnchor="text" w:hAnchor="margin" w:xAlign="center" w:y="1"/>
      <w:rPr>
        <w:rStyle w:val="PageNumber"/>
        <w:sz w:val="24"/>
        <w:szCs w:val="24"/>
      </w:rPr>
    </w:pPr>
    <w:r w:rsidRPr="00D464DB">
      <w:rPr>
        <w:rStyle w:val="PageNumber"/>
        <w:sz w:val="24"/>
        <w:szCs w:val="24"/>
      </w:rPr>
      <w:fldChar w:fldCharType="begin"/>
    </w:r>
    <w:r w:rsidRPr="00D464DB">
      <w:rPr>
        <w:rStyle w:val="PageNumber"/>
        <w:sz w:val="24"/>
        <w:szCs w:val="24"/>
      </w:rPr>
      <w:instrText xml:space="preserve">PAGE  </w:instrText>
    </w:r>
    <w:r w:rsidRPr="00D464DB">
      <w:rPr>
        <w:rStyle w:val="PageNumber"/>
        <w:sz w:val="24"/>
        <w:szCs w:val="24"/>
      </w:rPr>
      <w:fldChar w:fldCharType="separate"/>
    </w:r>
    <w:r w:rsidR="0083718A">
      <w:rPr>
        <w:rStyle w:val="PageNumber"/>
        <w:noProof/>
        <w:sz w:val="24"/>
        <w:szCs w:val="24"/>
      </w:rPr>
      <w:t>2</w:t>
    </w:r>
    <w:r w:rsidRPr="00D464DB">
      <w:rPr>
        <w:rStyle w:val="PageNumber"/>
        <w:sz w:val="24"/>
        <w:szCs w:val="24"/>
      </w:rPr>
      <w:fldChar w:fldCharType="end"/>
    </w:r>
  </w:p>
  <w:p w:rsidR="00C646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55230"/>
    <w:multiLevelType w:val="hybridMultilevel"/>
    <w:tmpl w:val="99B41900"/>
    <w:lvl w:ilvl="0">
      <w:start w:val="5"/>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40AB3173"/>
    <w:multiLevelType w:val="hybridMultilevel"/>
    <w:tmpl w:val="69AC6A78"/>
    <w:lvl w:ilvl="0">
      <w:start w:val="1"/>
      <w:numFmt w:val="bullet"/>
      <w:lvlText w:val="-"/>
      <w:lvlJc w:val="left"/>
      <w:pPr>
        <w:ind w:left="927" w:hanging="360"/>
      </w:pPr>
      <w:rPr>
        <w:rFonts w:ascii="Times New Roman" w:eastAsia="Times New Roman" w:hAnsi="Times New Roman" w:hint="default"/>
      </w:rPr>
    </w:lvl>
    <w:lvl w:ilvl="1" w:tentative="1">
      <w:start w:val="1"/>
      <w:numFmt w:val="bullet"/>
      <w:lvlText w:val="o"/>
      <w:lvlJc w:val="left"/>
      <w:pPr>
        <w:ind w:left="1647" w:hanging="360"/>
      </w:pPr>
      <w:rPr>
        <w:rFonts w:ascii="Courier New" w:hAnsi="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hint="default"/>
      </w:rPr>
    </w:lvl>
    <w:lvl w:ilvl="8" w:tentative="1">
      <w:start w:val="1"/>
      <w:numFmt w:val="bullet"/>
      <w:lvlText w:val=""/>
      <w:lvlJc w:val="left"/>
      <w:pPr>
        <w:ind w:left="6687" w:hanging="360"/>
      </w:pPr>
      <w:rPr>
        <w:rFonts w:ascii="Wingdings" w:hAnsi="Wingdings" w:hint="default"/>
      </w:rPr>
    </w:lvl>
  </w:abstractNum>
  <w:abstractNum w:abstractNumId="2">
    <w:nsid w:val="4CCE3A20"/>
    <w:multiLevelType w:val="hybridMultilevel"/>
    <w:tmpl w:val="5EA09976"/>
    <w:lvl w:ilvl="0">
      <w:start w:val="2"/>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56B06384"/>
    <w:multiLevelType w:val="hybridMultilevel"/>
    <w:tmpl w:val="4D06356E"/>
    <w:lvl w:ilvl="0">
      <w:start w:val="2"/>
      <w:numFmt w:val="bullet"/>
      <w:lvlText w:val="-"/>
      <w:lvlJc w:val="left"/>
      <w:pPr>
        <w:ind w:left="786" w:hanging="360"/>
      </w:pPr>
      <w:rPr>
        <w:rFonts w:ascii="Times New Roman" w:eastAsia="Times New Roman" w:hAnsi="Times New Roman" w:hint="default"/>
      </w:rPr>
    </w:lvl>
    <w:lvl w:ilvl="1" w:tentative="1">
      <w:start w:val="1"/>
      <w:numFmt w:val="bullet"/>
      <w:lvlText w:val="o"/>
      <w:lvlJc w:val="left"/>
      <w:pPr>
        <w:ind w:left="1506" w:hanging="360"/>
      </w:pPr>
      <w:rPr>
        <w:rFonts w:ascii="Courier New" w:hAnsi="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hint="default"/>
      </w:rPr>
    </w:lvl>
    <w:lvl w:ilvl="8" w:tentative="1">
      <w:start w:val="1"/>
      <w:numFmt w:val="bullet"/>
      <w:lvlText w:val=""/>
      <w:lvlJc w:val="left"/>
      <w:pPr>
        <w:ind w:left="6546" w:hanging="360"/>
      </w:pPr>
      <w:rPr>
        <w:rFonts w:ascii="Wingdings" w:hAnsi="Wingdings" w:hint="default"/>
      </w:rPr>
    </w:lvl>
  </w:abstractNum>
  <w:abstractNum w:abstractNumId="4">
    <w:nsid w:val="5D4741FA"/>
    <w:multiLevelType w:val="hybridMultilevel"/>
    <w:tmpl w:val="73C6DFCC"/>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6045074F"/>
    <w:multiLevelType w:val="hybridMultilevel"/>
    <w:tmpl w:val="1486B9F8"/>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66767AF3"/>
    <w:multiLevelType w:val="hybridMultilevel"/>
    <w:tmpl w:val="253A86BA"/>
    <w:lvl w:ilvl="0">
      <w:start w:val="3"/>
      <w:numFmt w:val="decimal"/>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45E2"/>
    <w:rsid w:val="000102E9"/>
    <w:rsid w:val="00010EFA"/>
    <w:rsid w:val="00011958"/>
    <w:rsid w:val="00020AB2"/>
    <w:rsid w:val="000243A3"/>
    <w:rsid w:val="00031DBC"/>
    <w:rsid w:val="00040260"/>
    <w:rsid w:val="00041236"/>
    <w:rsid w:val="0005498D"/>
    <w:rsid w:val="00057A31"/>
    <w:rsid w:val="0006554B"/>
    <w:rsid w:val="00073CD3"/>
    <w:rsid w:val="00075B82"/>
    <w:rsid w:val="00077355"/>
    <w:rsid w:val="00082CA9"/>
    <w:rsid w:val="00082DB9"/>
    <w:rsid w:val="00083583"/>
    <w:rsid w:val="00085B3F"/>
    <w:rsid w:val="000860C9"/>
    <w:rsid w:val="0009042F"/>
    <w:rsid w:val="00096157"/>
    <w:rsid w:val="000C0733"/>
    <w:rsid w:val="000C1B88"/>
    <w:rsid w:val="000D1716"/>
    <w:rsid w:val="000D6295"/>
    <w:rsid w:val="000F40CE"/>
    <w:rsid w:val="000F5187"/>
    <w:rsid w:val="000F57D1"/>
    <w:rsid w:val="000F7050"/>
    <w:rsid w:val="00101AB7"/>
    <w:rsid w:val="00111FF7"/>
    <w:rsid w:val="00112A41"/>
    <w:rsid w:val="0016226A"/>
    <w:rsid w:val="001648FE"/>
    <w:rsid w:val="0016694E"/>
    <w:rsid w:val="00171C13"/>
    <w:rsid w:val="00175C8A"/>
    <w:rsid w:val="001909E5"/>
    <w:rsid w:val="001974C7"/>
    <w:rsid w:val="001A52DA"/>
    <w:rsid w:val="001C7EF7"/>
    <w:rsid w:val="001F3307"/>
    <w:rsid w:val="001F3630"/>
    <w:rsid w:val="001F4369"/>
    <w:rsid w:val="002055D7"/>
    <w:rsid w:val="002565D7"/>
    <w:rsid w:val="0026605F"/>
    <w:rsid w:val="00266648"/>
    <w:rsid w:val="002673DB"/>
    <w:rsid w:val="0028043A"/>
    <w:rsid w:val="002A314A"/>
    <w:rsid w:val="002A5BEC"/>
    <w:rsid w:val="002C2A96"/>
    <w:rsid w:val="002C365E"/>
    <w:rsid w:val="002E167D"/>
    <w:rsid w:val="002E465D"/>
    <w:rsid w:val="002E7E65"/>
    <w:rsid w:val="002F0CBC"/>
    <w:rsid w:val="002F0E64"/>
    <w:rsid w:val="002F2B22"/>
    <w:rsid w:val="002F3409"/>
    <w:rsid w:val="002F7F88"/>
    <w:rsid w:val="003035F4"/>
    <w:rsid w:val="00305A18"/>
    <w:rsid w:val="003141C9"/>
    <w:rsid w:val="00324F60"/>
    <w:rsid w:val="00341C9D"/>
    <w:rsid w:val="003448FF"/>
    <w:rsid w:val="003459F1"/>
    <w:rsid w:val="00353A31"/>
    <w:rsid w:val="00354FBB"/>
    <w:rsid w:val="0036147D"/>
    <w:rsid w:val="00371757"/>
    <w:rsid w:val="00377521"/>
    <w:rsid w:val="003836E9"/>
    <w:rsid w:val="003B1BAD"/>
    <w:rsid w:val="003C3451"/>
    <w:rsid w:val="00440CC2"/>
    <w:rsid w:val="0044789E"/>
    <w:rsid w:val="004573C5"/>
    <w:rsid w:val="00477448"/>
    <w:rsid w:val="00481FA7"/>
    <w:rsid w:val="00483DA8"/>
    <w:rsid w:val="00484E9A"/>
    <w:rsid w:val="004A7C0B"/>
    <w:rsid w:val="004F2F7A"/>
    <w:rsid w:val="004F6A3E"/>
    <w:rsid w:val="00512EE5"/>
    <w:rsid w:val="00535E04"/>
    <w:rsid w:val="00541B5F"/>
    <w:rsid w:val="0054400D"/>
    <w:rsid w:val="00551322"/>
    <w:rsid w:val="00554FCA"/>
    <w:rsid w:val="00563537"/>
    <w:rsid w:val="00582CA0"/>
    <w:rsid w:val="005B1B44"/>
    <w:rsid w:val="005B27FF"/>
    <w:rsid w:val="005B3E7E"/>
    <w:rsid w:val="005B7E65"/>
    <w:rsid w:val="005C080C"/>
    <w:rsid w:val="005D4901"/>
    <w:rsid w:val="00601BB9"/>
    <w:rsid w:val="00654507"/>
    <w:rsid w:val="00671514"/>
    <w:rsid w:val="00675EE7"/>
    <w:rsid w:val="006772C4"/>
    <w:rsid w:val="006916D2"/>
    <w:rsid w:val="006A1521"/>
    <w:rsid w:val="006B6BCC"/>
    <w:rsid w:val="006D04FC"/>
    <w:rsid w:val="006D2699"/>
    <w:rsid w:val="006E31D6"/>
    <w:rsid w:val="006E643D"/>
    <w:rsid w:val="006F3CD3"/>
    <w:rsid w:val="0071256C"/>
    <w:rsid w:val="00715DFA"/>
    <w:rsid w:val="00716F1F"/>
    <w:rsid w:val="007249C0"/>
    <w:rsid w:val="0072553F"/>
    <w:rsid w:val="00726A02"/>
    <w:rsid w:val="0072769F"/>
    <w:rsid w:val="007545E2"/>
    <w:rsid w:val="00784DEA"/>
    <w:rsid w:val="0079479C"/>
    <w:rsid w:val="007948D4"/>
    <w:rsid w:val="007A3308"/>
    <w:rsid w:val="007C0C54"/>
    <w:rsid w:val="007E052D"/>
    <w:rsid w:val="007E3083"/>
    <w:rsid w:val="007E5C30"/>
    <w:rsid w:val="007F193A"/>
    <w:rsid w:val="007F70E6"/>
    <w:rsid w:val="007F75CC"/>
    <w:rsid w:val="00800FCB"/>
    <w:rsid w:val="00805403"/>
    <w:rsid w:val="008073F5"/>
    <w:rsid w:val="00810F0B"/>
    <w:rsid w:val="00810F4C"/>
    <w:rsid w:val="00814AFA"/>
    <w:rsid w:val="008274BA"/>
    <w:rsid w:val="0083718A"/>
    <w:rsid w:val="008376DC"/>
    <w:rsid w:val="00841D61"/>
    <w:rsid w:val="00846318"/>
    <w:rsid w:val="00852F59"/>
    <w:rsid w:val="008626DD"/>
    <w:rsid w:val="008939C5"/>
    <w:rsid w:val="008B47C4"/>
    <w:rsid w:val="008B7ABB"/>
    <w:rsid w:val="008C0A09"/>
    <w:rsid w:val="008C51C9"/>
    <w:rsid w:val="008D4253"/>
    <w:rsid w:val="008E0662"/>
    <w:rsid w:val="00900933"/>
    <w:rsid w:val="00906D94"/>
    <w:rsid w:val="00921EB3"/>
    <w:rsid w:val="009265B9"/>
    <w:rsid w:val="009535C8"/>
    <w:rsid w:val="009543F0"/>
    <w:rsid w:val="00956627"/>
    <w:rsid w:val="00956A13"/>
    <w:rsid w:val="00962FAF"/>
    <w:rsid w:val="00974CAD"/>
    <w:rsid w:val="00977260"/>
    <w:rsid w:val="00982E63"/>
    <w:rsid w:val="009B27C0"/>
    <w:rsid w:val="009C5045"/>
    <w:rsid w:val="009D33E0"/>
    <w:rsid w:val="009E04A9"/>
    <w:rsid w:val="00A01DF9"/>
    <w:rsid w:val="00A12440"/>
    <w:rsid w:val="00A23932"/>
    <w:rsid w:val="00A25C38"/>
    <w:rsid w:val="00A27DFF"/>
    <w:rsid w:val="00A4225B"/>
    <w:rsid w:val="00A463BC"/>
    <w:rsid w:val="00A5096A"/>
    <w:rsid w:val="00A549D2"/>
    <w:rsid w:val="00A66A02"/>
    <w:rsid w:val="00A760A8"/>
    <w:rsid w:val="00A772C3"/>
    <w:rsid w:val="00A83DD2"/>
    <w:rsid w:val="00A90848"/>
    <w:rsid w:val="00A935F0"/>
    <w:rsid w:val="00A962DB"/>
    <w:rsid w:val="00AB18F5"/>
    <w:rsid w:val="00AC66C9"/>
    <w:rsid w:val="00AD0430"/>
    <w:rsid w:val="00AD0E0B"/>
    <w:rsid w:val="00AD10A9"/>
    <w:rsid w:val="00AD2415"/>
    <w:rsid w:val="00AD797C"/>
    <w:rsid w:val="00AE5FCF"/>
    <w:rsid w:val="00AF2A8C"/>
    <w:rsid w:val="00B0182A"/>
    <w:rsid w:val="00B022AA"/>
    <w:rsid w:val="00B17FFD"/>
    <w:rsid w:val="00B211E2"/>
    <w:rsid w:val="00B27094"/>
    <w:rsid w:val="00B27B7B"/>
    <w:rsid w:val="00B40212"/>
    <w:rsid w:val="00B429EB"/>
    <w:rsid w:val="00B53036"/>
    <w:rsid w:val="00B60834"/>
    <w:rsid w:val="00B641CC"/>
    <w:rsid w:val="00B641F2"/>
    <w:rsid w:val="00B67068"/>
    <w:rsid w:val="00B85738"/>
    <w:rsid w:val="00B915FB"/>
    <w:rsid w:val="00BA75BC"/>
    <w:rsid w:val="00BB2E2C"/>
    <w:rsid w:val="00BB413A"/>
    <w:rsid w:val="00BC4201"/>
    <w:rsid w:val="00BD0FEE"/>
    <w:rsid w:val="00BE72B6"/>
    <w:rsid w:val="00BF4AF7"/>
    <w:rsid w:val="00C0180D"/>
    <w:rsid w:val="00C048E3"/>
    <w:rsid w:val="00C12D8C"/>
    <w:rsid w:val="00C27642"/>
    <w:rsid w:val="00C3011E"/>
    <w:rsid w:val="00C30C3A"/>
    <w:rsid w:val="00C51D32"/>
    <w:rsid w:val="00C55BA3"/>
    <w:rsid w:val="00C62B98"/>
    <w:rsid w:val="00C646B7"/>
    <w:rsid w:val="00C803A6"/>
    <w:rsid w:val="00C86796"/>
    <w:rsid w:val="00CC108B"/>
    <w:rsid w:val="00CC2626"/>
    <w:rsid w:val="00CC7B29"/>
    <w:rsid w:val="00CE13F1"/>
    <w:rsid w:val="00CE7B1F"/>
    <w:rsid w:val="00CF7E73"/>
    <w:rsid w:val="00D11555"/>
    <w:rsid w:val="00D27116"/>
    <w:rsid w:val="00D464DB"/>
    <w:rsid w:val="00D50742"/>
    <w:rsid w:val="00D54D86"/>
    <w:rsid w:val="00D56B8E"/>
    <w:rsid w:val="00D6024F"/>
    <w:rsid w:val="00D62FFD"/>
    <w:rsid w:val="00D747CE"/>
    <w:rsid w:val="00D85F42"/>
    <w:rsid w:val="00DB2239"/>
    <w:rsid w:val="00DB258A"/>
    <w:rsid w:val="00DB466B"/>
    <w:rsid w:val="00DE23C1"/>
    <w:rsid w:val="00DF482B"/>
    <w:rsid w:val="00E03150"/>
    <w:rsid w:val="00E13A8B"/>
    <w:rsid w:val="00E30985"/>
    <w:rsid w:val="00E32A5E"/>
    <w:rsid w:val="00E47760"/>
    <w:rsid w:val="00E53A49"/>
    <w:rsid w:val="00E64D21"/>
    <w:rsid w:val="00E77B8F"/>
    <w:rsid w:val="00E90043"/>
    <w:rsid w:val="00E920F7"/>
    <w:rsid w:val="00E94A42"/>
    <w:rsid w:val="00EA6A0B"/>
    <w:rsid w:val="00EE223F"/>
    <w:rsid w:val="00EF756A"/>
    <w:rsid w:val="00F008A3"/>
    <w:rsid w:val="00F016D9"/>
    <w:rsid w:val="00F06041"/>
    <w:rsid w:val="00F0654C"/>
    <w:rsid w:val="00F51680"/>
    <w:rsid w:val="00F51AD3"/>
    <w:rsid w:val="00F703C1"/>
    <w:rsid w:val="00F728F0"/>
    <w:rsid w:val="00F7360B"/>
    <w:rsid w:val="00FA038D"/>
    <w:rsid w:val="00FA524D"/>
    <w:rsid w:val="00FB4DCC"/>
    <w:rsid w:val="00FC4A07"/>
    <w:rsid w:val="00FC4FFC"/>
    <w:rsid w:val="00FE01F6"/>
    <w:rsid w:val="00FE3430"/>
    <w:rsid w:val="00FF3EF4"/>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locked="1"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locked="1"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locked="1"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locked="1" w:semiHidden="0" w:uiPriority="0" w:unhideWhenUsed="0"/>
    <w:lsdException w:name="FollowedHyperlink" w:semiHidden="0" w:uiPriority="0" w:unhideWhenUsed="0"/>
    <w:lsdException w:name="Strong" w:locked="1" w:semiHidden="0" w:uiPriority="0" w:unhideWhenUsed="0" w:qFormat="1"/>
    <w:lsdException w:name="Emphasis" w:locked="1"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8C51C9"/>
    <w:pPr>
      <w:widowControl w:val="0"/>
      <w:autoSpaceDE w:val="0"/>
      <w:autoSpaceDN w:val="0"/>
      <w:adjustRightInd w:val="0"/>
    </w:pPr>
    <w:rPr>
      <w:b/>
      <w:bCs/>
      <w:lang w:val="ru-RU" w:eastAsia="ru-RU" w:bidi="ar-SA"/>
    </w:rPr>
  </w:style>
  <w:style w:type="character" w:default="1" w:styleId="DefaultParagraphFont">
    <w:name w:val="Default Paragraph Font"/>
    <w:semiHidden/>
    <w:locke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a"/>
    <w:rsid w:val="008C51C9"/>
    <w:pPr>
      <w:widowControl/>
      <w:autoSpaceDE/>
      <w:autoSpaceDN/>
      <w:adjustRightInd/>
      <w:jc w:val="both"/>
    </w:pPr>
    <w:rPr>
      <w:rFonts w:ascii="Bookman Old Style" w:hAnsi="Bookman Old Style"/>
      <w:b w:val="0"/>
      <w:bCs w:val="0"/>
      <w:sz w:val="28"/>
      <w:lang w:val="uk-UA"/>
    </w:rPr>
  </w:style>
  <w:style w:type="character" w:customStyle="1" w:styleId="a">
    <w:name w:val="Основной текст Знак"/>
    <w:link w:val="BodyText"/>
    <w:semiHidden/>
    <w:locked/>
    <w:rPr>
      <w:rFonts w:cs="Times New Roman"/>
      <w:b/>
      <w:bCs/>
      <w:lang w:val="ru-RU" w:eastAsia="ru-RU"/>
    </w:rPr>
  </w:style>
  <w:style w:type="paragraph" w:customStyle="1" w:styleId="a0">
    <w:name w:val="Знак"/>
    <w:basedOn w:val="Normal"/>
    <w:rsid w:val="008C51C9"/>
    <w:pPr>
      <w:widowControl/>
      <w:autoSpaceDE/>
      <w:autoSpaceDN/>
      <w:adjustRightInd/>
    </w:pPr>
    <w:rPr>
      <w:rFonts w:ascii="Verdana" w:hAnsi="Verdana" w:cs="Verdana"/>
      <w:b w:val="0"/>
      <w:bCs w:val="0"/>
      <w:lang w:val="en-US" w:eastAsia="en-US"/>
    </w:rPr>
  </w:style>
  <w:style w:type="character" w:customStyle="1" w:styleId="rvts9">
    <w:name w:val="rvts9"/>
    <w:rsid w:val="008C51C9"/>
    <w:rPr>
      <w:rFonts w:cs="Times New Roman"/>
    </w:rPr>
  </w:style>
  <w:style w:type="paragraph" w:styleId="Header">
    <w:name w:val="header"/>
    <w:basedOn w:val="Normal"/>
    <w:link w:val="a1"/>
    <w:rsid w:val="008C51C9"/>
    <w:pPr>
      <w:tabs>
        <w:tab w:val="center" w:pos="4677"/>
        <w:tab w:val="right" w:pos="9355"/>
      </w:tabs>
    </w:pPr>
  </w:style>
  <w:style w:type="character" w:customStyle="1" w:styleId="a1">
    <w:name w:val="Верхний колонтитул Знак"/>
    <w:link w:val="Header"/>
    <w:semiHidden/>
    <w:locked/>
    <w:rPr>
      <w:rFonts w:cs="Times New Roman"/>
      <w:b/>
      <w:bCs/>
      <w:lang w:val="ru-RU" w:eastAsia="ru-RU"/>
    </w:rPr>
  </w:style>
  <w:style w:type="character" w:styleId="PageNumber">
    <w:name w:val="page number"/>
    <w:rsid w:val="008C51C9"/>
    <w:rPr>
      <w:rFonts w:cs="Times New Roman"/>
    </w:rPr>
  </w:style>
  <w:style w:type="paragraph" w:styleId="BalloonText">
    <w:name w:val="Balloon Text"/>
    <w:basedOn w:val="Normal"/>
    <w:link w:val="a2"/>
    <w:semiHidden/>
    <w:rsid w:val="000F57D1"/>
    <w:rPr>
      <w:rFonts w:ascii="Tahoma" w:hAnsi="Tahoma" w:cs="Tahoma"/>
      <w:sz w:val="16"/>
      <w:szCs w:val="16"/>
    </w:rPr>
  </w:style>
  <w:style w:type="character" w:customStyle="1" w:styleId="a2">
    <w:name w:val="Текст выноски Знак"/>
    <w:link w:val="BalloonText"/>
    <w:semiHidden/>
    <w:locked/>
    <w:rPr>
      <w:rFonts w:ascii="Segoe UI" w:hAnsi="Segoe UI" w:cs="Segoe UI"/>
      <w:b/>
      <w:bCs/>
      <w:sz w:val="18"/>
      <w:szCs w:val="18"/>
      <w:lang w:val="ru-RU" w:eastAsia="ru-RU"/>
    </w:rPr>
  </w:style>
  <w:style w:type="character" w:customStyle="1" w:styleId="rvts0">
    <w:name w:val="rvts0"/>
    <w:rsid w:val="001648FE"/>
  </w:style>
  <w:style w:type="paragraph" w:styleId="Footer">
    <w:name w:val="footer"/>
    <w:basedOn w:val="Normal"/>
    <w:link w:val="a3"/>
    <w:rsid w:val="00D464DB"/>
    <w:pPr>
      <w:tabs>
        <w:tab w:val="center" w:pos="4819"/>
        <w:tab w:val="right" w:pos="9639"/>
      </w:tabs>
    </w:pPr>
  </w:style>
  <w:style w:type="character" w:customStyle="1" w:styleId="a3">
    <w:name w:val="Нижний колонтитул Знак"/>
    <w:link w:val="Footer"/>
    <w:locked/>
    <w:rsid w:val="00D464DB"/>
    <w:rPr>
      <w:rFonts w:cs="Times New Roman"/>
      <w:b/>
      <w:lang w:val="ru-RU" w:eastAsia="ru-RU"/>
    </w:rPr>
  </w:style>
  <w:style w:type="paragraph" w:styleId="BodyTextIndent">
    <w:name w:val="Body Text Indent"/>
    <w:basedOn w:val="Normal"/>
    <w:link w:val="a4"/>
    <w:rsid w:val="00FA524D"/>
    <w:pPr>
      <w:spacing w:after="120"/>
      <w:ind w:left="283"/>
    </w:pPr>
  </w:style>
  <w:style w:type="character" w:customStyle="1" w:styleId="a4">
    <w:name w:val="Основной текст с отступом Знак"/>
    <w:link w:val="BodyTextIndent"/>
    <w:locked/>
    <w:rsid w:val="00FA524D"/>
    <w:rPr>
      <w:rFonts w:cs="Times New Roman"/>
      <w:b/>
      <w:lang w:val="ru-RU" w:eastAsia="ru-RU"/>
    </w:rPr>
  </w:style>
  <w:style w:type="paragraph" w:customStyle="1" w:styleId="rvps2">
    <w:name w:val="rvps2"/>
    <w:basedOn w:val="Normal"/>
    <w:rsid w:val="00010EFA"/>
    <w:pPr>
      <w:widowControl/>
      <w:autoSpaceDE/>
      <w:autoSpaceDN/>
      <w:adjustRightInd/>
      <w:spacing w:before="100" w:beforeAutospacing="1" w:after="100" w:afterAutospacing="1"/>
    </w:pPr>
    <w:rPr>
      <w:b w:val="0"/>
      <w:bCs w:val="0"/>
      <w:sz w:val="24"/>
      <w:szCs w:val="24"/>
      <w:lang w:val="uk-UA" w:eastAsia="uk-UA"/>
    </w:rPr>
  </w:style>
  <w:style w:type="character" w:customStyle="1" w:styleId="rvts15">
    <w:name w:val="rvts15"/>
    <w:rsid w:val="00010EFA"/>
  </w:style>
  <w:style w:type="character" w:styleId="Hyperlink">
    <w:name w:val="Hyperlink"/>
    <w:rsid w:val="00B915FB"/>
    <w:rPr>
      <w:rFonts w:cs="Times New Roman"/>
      <w:color w:val="0000FF"/>
      <w:u w:val="single"/>
    </w:rPr>
  </w:style>
  <w:style w:type="paragraph" w:customStyle="1" w:styleId="1">
    <w:name w:val="Знак Знак Знак Знак Знак Знак1 Знак"/>
    <w:basedOn w:val="Normal"/>
    <w:link w:val="DefaultParagraphFont"/>
    <w:rsid w:val="00C86796"/>
    <w:pPr>
      <w:widowControl/>
      <w:autoSpaceDE/>
      <w:autoSpaceDN/>
      <w:adjustRightInd/>
    </w:pPr>
    <w:rPr>
      <w:rFonts w:ascii="Verdana" w:hAnsi="Verdana" w:cs="Verdana"/>
      <w:b w:val="0"/>
      <w:bCs w:val="0"/>
      <w:lang w:val="en-US" w:eastAsia="en-US"/>
    </w:rPr>
  </w:style>
  <w:style w:type="paragraph" w:styleId="NormalWeb">
    <w:name w:val="Normal (Web)"/>
    <w:basedOn w:val="Normal"/>
    <w:rsid w:val="00C86796"/>
    <w:pPr>
      <w:widowControl/>
      <w:autoSpaceDE/>
      <w:autoSpaceDN/>
      <w:adjustRightInd/>
      <w:spacing w:before="100" w:beforeAutospacing="1" w:after="100" w:afterAutospacing="1"/>
    </w:pPr>
    <w:rPr>
      <w:b w:val="0"/>
      <w:bCs w:val="0"/>
      <w:sz w:val="24"/>
      <w:szCs w:val="24"/>
      <w:lang w:val="uk-UA"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5194</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SPecialiST RePack</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usr</dc:creator>
  <cp:lastModifiedBy>Admin</cp:lastModifiedBy>
  <cp:revision>2</cp:revision>
  <cp:lastPrinted>2020-01-14T11:59:00Z</cp:lastPrinted>
  <dcterms:created xsi:type="dcterms:W3CDTF">2020-01-14T12:01:00Z</dcterms:created>
  <dcterms:modified xsi:type="dcterms:W3CDTF">2020-01-14T12:01:00Z</dcterms:modified>
</cp:coreProperties>
</file>