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7903BE" w:rsidRPr="00AC4A0D" w:rsidP="00AC4A0D">
      <w:pPr>
        <w:widowControl w:val="0"/>
        <w:bidi w:val="0"/>
        <w:ind w:firstLine="0"/>
        <w:jc w:val="center"/>
        <w:rPr>
          <w:rFonts w:ascii="Times New Roman" w:hAnsi="Times New Roman"/>
          <w:b/>
          <w:bCs/>
          <w:sz w:val="28"/>
          <w:szCs w:val="28"/>
        </w:rPr>
      </w:pPr>
      <w:r w:rsidRPr="00AC4A0D">
        <w:rPr>
          <w:rFonts w:ascii="Times New Roman" w:hAnsi="Times New Roman"/>
          <w:b/>
          <w:bCs/>
          <w:sz w:val="28"/>
          <w:szCs w:val="28"/>
        </w:rPr>
        <w:t>ПОЯСНЮВАЛЬНА ЗАПИСКА</w:t>
      </w:r>
    </w:p>
    <w:p w:rsidR="00C860EC" w:rsidRPr="00AC4A0D" w:rsidP="00AC4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center"/>
        <w:rPr>
          <w:rFonts w:ascii="Times New Roman" w:hAnsi="Times New Roman"/>
          <w:b/>
          <w:bCs/>
          <w:sz w:val="28"/>
          <w:szCs w:val="28"/>
        </w:rPr>
      </w:pPr>
      <w:r w:rsidRPr="00AC4A0D" w:rsidR="00DB6FA2">
        <w:rPr>
          <w:rFonts w:ascii="Times New Roman" w:hAnsi="Times New Roman"/>
          <w:b/>
          <w:bCs/>
          <w:sz w:val="28"/>
          <w:szCs w:val="28"/>
        </w:rPr>
        <w:t>до проекту  Закону України   «Про внесення змін до деяких Законів України щодо конкурен</w:t>
      </w:r>
      <w:r w:rsidRPr="00AC4A0D" w:rsidR="00EB1EE2">
        <w:rPr>
          <w:rFonts w:ascii="Times New Roman" w:hAnsi="Times New Roman"/>
          <w:b/>
          <w:bCs/>
          <w:sz w:val="28"/>
          <w:szCs w:val="28"/>
        </w:rPr>
        <w:t>тно</w:t>
      </w:r>
      <w:r w:rsidRPr="00AC4A0D" w:rsidR="00DB6FA2">
        <w:rPr>
          <w:rFonts w:ascii="Times New Roman" w:hAnsi="Times New Roman"/>
          <w:b/>
          <w:bCs/>
          <w:sz w:val="28"/>
          <w:szCs w:val="28"/>
        </w:rPr>
        <w:t>-антимонопольної реформи»</w:t>
      </w:r>
    </w:p>
    <w:p w:rsidR="003B6E91" w:rsidRPr="00AC4A0D" w:rsidP="00AC4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center"/>
        <w:rPr>
          <w:rFonts w:ascii="Times New Roman" w:hAnsi="Times New Roman"/>
          <w:sz w:val="28"/>
          <w:szCs w:val="28"/>
        </w:rPr>
      </w:pPr>
    </w:p>
    <w:p w:rsidR="00DF1DB3" w:rsidRPr="00AC4A0D" w:rsidP="00AC4A0D">
      <w:pPr>
        <w:bidi w:val="0"/>
        <w:rPr>
          <w:rFonts w:ascii="Times New Roman" w:hAnsi="Times New Roman"/>
          <w:b/>
          <w:bCs/>
          <w:sz w:val="28"/>
          <w:szCs w:val="28"/>
        </w:rPr>
      </w:pPr>
      <w:r w:rsidRPr="00AC4A0D" w:rsidR="00CC40CE">
        <w:rPr>
          <w:rFonts w:ascii="Times New Roman" w:hAnsi="Times New Roman"/>
          <w:b/>
          <w:bCs/>
          <w:sz w:val="28"/>
          <w:szCs w:val="28"/>
        </w:rPr>
        <w:t xml:space="preserve">1. </w:t>
      </w:r>
      <w:r w:rsidRPr="00AC4A0D" w:rsidR="007903BE">
        <w:rPr>
          <w:rFonts w:ascii="Times New Roman" w:hAnsi="Times New Roman"/>
          <w:b/>
          <w:bCs/>
          <w:sz w:val="28"/>
          <w:szCs w:val="28"/>
        </w:rPr>
        <w:t>Обґрунту</w:t>
      </w:r>
      <w:r w:rsidRPr="00AC4A0D" w:rsidR="00BE20F6">
        <w:rPr>
          <w:rFonts w:ascii="Times New Roman" w:hAnsi="Times New Roman"/>
          <w:b/>
          <w:bCs/>
          <w:sz w:val="28"/>
          <w:szCs w:val="28"/>
        </w:rPr>
        <w:t>вання необхідності прийняття законопроекту</w:t>
      </w:r>
    </w:p>
    <w:p w:rsidR="00557C44" w:rsidRPr="00AC4A0D" w:rsidP="00AC4A0D">
      <w:pPr>
        <w:pStyle w:val="ListParagraph"/>
        <w:bidi w:val="0"/>
        <w:spacing w:after="0" w:line="240" w:lineRule="auto"/>
        <w:ind w:left="0" w:firstLine="567"/>
        <w:jc w:val="both"/>
        <w:rPr>
          <w:rFonts w:ascii="Times New Roman" w:hAnsi="Times New Roman"/>
          <w:bCs/>
          <w:sz w:val="28"/>
          <w:szCs w:val="28"/>
        </w:rPr>
      </w:pPr>
      <w:r w:rsidRPr="00AC4A0D">
        <w:rPr>
          <w:rFonts w:ascii="Times New Roman" w:hAnsi="Times New Roman"/>
          <w:bCs/>
          <w:sz w:val="28"/>
          <w:szCs w:val="28"/>
        </w:rPr>
        <w:t>Законопроект передбачає проведення конкурен</w:t>
      </w:r>
      <w:r w:rsidRPr="00AC4A0D" w:rsidR="00EB1EE2">
        <w:rPr>
          <w:rFonts w:ascii="Times New Roman" w:hAnsi="Times New Roman"/>
          <w:bCs/>
          <w:sz w:val="28"/>
          <w:szCs w:val="28"/>
        </w:rPr>
        <w:t>тно</w:t>
      </w:r>
      <w:r w:rsidRPr="00AC4A0D">
        <w:rPr>
          <w:rFonts w:ascii="Times New Roman" w:hAnsi="Times New Roman"/>
          <w:bCs/>
          <w:sz w:val="28"/>
          <w:szCs w:val="28"/>
        </w:rPr>
        <w:t>-антимонопольної реформи, яка має на меті підвищення ефективності системи розвитку та захисту економічної конкуренції, як рушійної сили розвитку економіки України.</w:t>
      </w:r>
    </w:p>
    <w:p w:rsidR="00557C44" w:rsidRPr="00AC4A0D" w:rsidP="00AC4A0D">
      <w:pPr>
        <w:pStyle w:val="ListParagraph"/>
        <w:bidi w:val="0"/>
        <w:spacing w:after="0" w:line="240" w:lineRule="auto"/>
        <w:ind w:left="0" w:firstLine="567"/>
        <w:jc w:val="both"/>
        <w:rPr>
          <w:rFonts w:ascii="Times New Roman" w:hAnsi="Times New Roman"/>
          <w:bCs/>
          <w:sz w:val="28"/>
          <w:szCs w:val="28"/>
        </w:rPr>
      </w:pPr>
      <w:r w:rsidRPr="00AC4A0D">
        <w:rPr>
          <w:rFonts w:ascii="Times New Roman" w:hAnsi="Times New Roman"/>
          <w:bCs/>
          <w:sz w:val="28"/>
          <w:szCs w:val="28"/>
        </w:rPr>
        <w:t>Ця реформа охоплює розвиток сфери конкурен</w:t>
      </w:r>
      <w:r w:rsidRPr="00AC4A0D" w:rsidR="00EB1EE2">
        <w:rPr>
          <w:rFonts w:ascii="Times New Roman" w:hAnsi="Times New Roman"/>
          <w:bCs/>
          <w:sz w:val="28"/>
          <w:szCs w:val="28"/>
        </w:rPr>
        <w:t>тної</w:t>
      </w:r>
      <w:r w:rsidRPr="00AC4A0D">
        <w:rPr>
          <w:rFonts w:ascii="Times New Roman" w:hAnsi="Times New Roman"/>
          <w:bCs/>
          <w:sz w:val="28"/>
          <w:szCs w:val="28"/>
        </w:rPr>
        <w:t xml:space="preserve"> політики та правозастосування з включенням у цей процес законодавчої, виконавчої та судової влади, а також зміну державно-правового дизайну Антимонопольного комітету України.</w:t>
      </w:r>
    </w:p>
    <w:p w:rsidR="00D07E55" w:rsidRPr="00AC4A0D" w:rsidP="00AC4A0D">
      <w:pPr>
        <w:bidi w:val="0"/>
        <w:ind w:firstLine="709"/>
        <w:rPr>
          <w:rFonts w:ascii="Times New Roman" w:hAnsi="Times New Roman"/>
          <w:b/>
          <w:i/>
          <w:sz w:val="28"/>
          <w:szCs w:val="28"/>
        </w:rPr>
      </w:pPr>
      <w:r w:rsidRPr="00AC4A0D" w:rsidR="00D37EB9">
        <w:rPr>
          <w:rFonts w:ascii="Times New Roman" w:hAnsi="Times New Roman"/>
          <w:b/>
          <w:i/>
          <w:sz w:val="28"/>
          <w:szCs w:val="28"/>
        </w:rPr>
        <w:t>1.1</w:t>
      </w:r>
      <w:r w:rsidRPr="00AC4A0D">
        <w:rPr>
          <w:rFonts w:ascii="Times New Roman" w:hAnsi="Times New Roman"/>
          <w:b/>
          <w:i/>
          <w:sz w:val="28"/>
          <w:szCs w:val="28"/>
        </w:rPr>
        <w:t>. Розвиток інституту підзвітності Антимонопольного комітету України Верховній Раді України</w:t>
      </w:r>
    </w:p>
    <w:p w:rsidR="00D07E55" w:rsidRPr="00AC4A0D" w:rsidP="00AC4A0D">
      <w:pPr>
        <w:bidi w:val="0"/>
        <w:ind w:firstLine="709"/>
        <w:rPr>
          <w:rFonts w:ascii="Times New Roman" w:hAnsi="Times New Roman"/>
          <w:sz w:val="28"/>
          <w:szCs w:val="28"/>
        </w:rPr>
      </w:pPr>
      <w:r w:rsidRPr="00AC4A0D">
        <w:rPr>
          <w:rFonts w:ascii="Times New Roman" w:hAnsi="Times New Roman"/>
          <w:sz w:val="28"/>
          <w:szCs w:val="28"/>
        </w:rPr>
        <w:t>Статтями 2 та 20-1 Закону «Про Антимонопольний комітет України» передбачено, що Антимонопольний комітет України є підзвітним Верховній Раді України і щорічно подає звіт про свою діяльність, а  Верховна Рада України щорічно до 15 квітня розглядає його звіт.</w:t>
      </w:r>
    </w:p>
    <w:p w:rsidR="00D07E55" w:rsidRPr="00AC4A0D" w:rsidP="00AC4A0D">
      <w:pPr>
        <w:bidi w:val="0"/>
        <w:ind w:firstLine="709"/>
        <w:rPr>
          <w:rFonts w:ascii="Times New Roman" w:hAnsi="Times New Roman"/>
          <w:sz w:val="28"/>
          <w:szCs w:val="28"/>
        </w:rPr>
      </w:pPr>
      <w:r w:rsidRPr="00AC4A0D" w:rsidR="00897CBF">
        <w:rPr>
          <w:rFonts w:ascii="Times New Roman" w:hAnsi="Times New Roman"/>
          <w:sz w:val="28"/>
          <w:szCs w:val="28"/>
        </w:rPr>
        <w:t>Однак</w:t>
      </w:r>
      <w:r w:rsidRPr="00AC4A0D">
        <w:rPr>
          <w:rFonts w:ascii="Times New Roman" w:hAnsi="Times New Roman"/>
          <w:sz w:val="28"/>
          <w:szCs w:val="28"/>
        </w:rPr>
        <w:t xml:space="preserve"> Законом не визначено вимоги до змісту звіту, порядок та форму звітування </w:t>
      </w:r>
      <w:r w:rsidRPr="00AC4A0D">
        <w:rPr>
          <w:rFonts w:ascii="Times New Roman" w:hAnsi="Times New Roman"/>
          <w:color w:val="000000"/>
          <w:sz w:val="28"/>
          <w:szCs w:val="28"/>
          <w:u w:color="000000"/>
        </w:rPr>
        <w:t>Антимонопольного комітету України</w:t>
      </w:r>
      <w:r w:rsidRPr="00AC4A0D" w:rsidR="003E5D13">
        <w:rPr>
          <w:rFonts w:ascii="Times New Roman" w:hAnsi="Times New Roman"/>
          <w:color w:val="000000"/>
          <w:sz w:val="28"/>
          <w:szCs w:val="28"/>
          <w:u w:color="000000"/>
          <w:lang w:val="ru-RU"/>
        </w:rPr>
        <w:t xml:space="preserve"> та результати звітування</w:t>
      </w:r>
      <w:r w:rsidRPr="00AC4A0D">
        <w:rPr>
          <w:rFonts w:ascii="Times New Roman" w:hAnsi="Times New Roman"/>
          <w:sz w:val="28"/>
          <w:szCs w:val="28"/>
        </w:rPr>
        <w:t>.</w:t>
      </w:r>
      <w:r w:rsidRPr="00AC4A0D" w:rsidR="004C6FD0">
        <w:rPr>
          <w:rFonts w:ascii="Times New Roman" w:hAnsi="Times New Roman"/>
          <w:sz w:val="28"/>
          <w:szCs w:val="28"/>
          <w:lang w:val="ru-RU"/>
        </w:rPr>
        <w:t xml:space="preserve"> У результаті цього, впродовж багат</w:t>
      </w:r>
      <w:r w:rsidRPr="00AC4A0D" w:rsidR="004C6FD0">
        <w:rPr>
          <w:rFonts w:ascii="Times New Roman" w:hAnsi="Times New Roman"/>
          <w:sz w:val="28"/>
          <w:szCs w:val="28"/>
        </w:rPr>
        <w:t>ьох років звіти Антимонопольного комітету України не були предметом розгляду на пленарних засіданнях Верховної Ради України.</w:t>
      </w:r>
    </w:p>
    <w:p w:rsidR="00D07E55"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222222"/>
          <w:sz w:val="28"/>
          <w:szCs w:val="28"/>
          <w:u w:color="222222"/>
        </w:rPr>
      </w:pPr>
      <w:r w:rsidRPr="00AC4A0D" w:rsidR="004C6FD0">
        <w:rPr>
          <w:rFonts w:ascii="Times New Roman" w:hAnsi="Times New Roman"/>
          <w:sz w:val="28"/>
          <w:szCs w:val="28"/>
        </w:rPr>
        <w:t xml:space="preserve"> Законопроектом</w:t>
      </w:r>
      <w:r w:rsidRPr="00AC4A0D">
        <w:rPr>
          <w:rFonts w:ascii="Times New Roman" w:hAnsi="Times New Roman"/>
          <w:sz w:val="28"/>
          <w:szCs w:val="28"/>
        </w:rPr>
        <w:t xml:space="preserve"> пропонується встановити, що звіт повинен містити </w:t>
      </w:r>
      <w:r w:rsidRPr="00AC4A0D">
        <w:rPr>
          <w:rFonts w:ascii="Times New Roman" w:hAnsi="Times New Roman"/>
          <w:color w:val="000000"/>
          <w:sz w:val="28"/>
          <w:szCs w:val="28"/>
          <w:u w:color="000000"/>
        </w:rPr>
        <w:t>оцінку стану захисту економічної конкуренції, наявності антиконкурентних та монополістичних загроз економічному розвитку країни, шляхи їх подолання та пріоритети діяльності Антимонопольного комітету України.</w:t>
      </w:r>
    </w:p>
    <w:p w:rsidR="00D07E55"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426"/>
        <w:rPr>
          <w:rFonts w:ascii="Times New Roman" w:hAnsi="Times New Roman"/>
          <w:color w:val="000000"/>
          <w:sz w:val="28"/>
          <w:szCs w:val="28"/>
          <w:u w:color="000000"/>
        </w:rPr>
      </w:pPr>
      <w:r w:rsidRPr="00AC4A0D">
        <w:rPr>
          <w:rFonts w:ascii="Times New Roman" w:hAnsi="Times New Roman"/>
          <w:color w:val="000000"/>
          <w:sz w:val="28"/>
          <w:szCs w:val="28"/>
          <w:u w:color="000000"/>
        </w:rPr>
        <w:t>     </w:t>
      </w:r>
      <w:r w:rsidRPr="00AC4A0D" w:rsidR="004C6FD0">
        <w:rPr>
          <w:rFonts w:ascii="Times New Roman" w:hAnsi="Times New Roman"/>
          <w:color w:val="000000"/>
          <w:sz w:val="28"/>
          <w:szCs w:val="28"/>
          <w:u w:color="000000"/>
        </w:rPr>
        <w:t>Також передбачено, що з</w:t>
      </w:r>
      <w:r w:rsidRPr="00AC4A0D">
        <w:rPr>
          <w:rFonts w:ascii="Times New Roman" w:hAnsi="Times New Roman"/>
          <w:color w:val="000000"/>
          <w:sz w:val="28"/>
          <w:szCs w:val="28"/>
          <w:u w:color="000000"/>
        </w:rPr>
        <w:t>віт Антимонопольного комітету України щороку заслуховується на пленарному засіданні Верховної Ради України. За результатами заслуховування звіту Верховною Радою України приймається постанова, яка містить оцінку діяльності Антимонопольного комітету України за звітний період.</w:t>
      </w:r>
    </w:p>
    <w:p w:rsidR="00D07E55"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b/>
          <w:i/>
          <w:color w:val="000000"/>
          <w:sz w:val="28"/>
          <w:szCs w:val="28"/>
          <w:u w:color="000000"/>
        </w:rPr>
      </w:pPr>
      <w:r w:rsidRPr="00AC4A0D" w:rsidR="00D37EB9">
        <w:rPr>
          <w:rFonts w:ascii="Times New Roman" w:hAnsi="Times New Roman"/>
          <w:b/>
          <w:i/>
          <w:color w:val="000000"/>
          <w:sz w:val="28"/>
          <w:szCs w:val="28"/>
          <w:u w:color="000000"/>
        </w:rPr>
        <w:t>1.2</w:t>
      </w:r>
      <w:r w:rsidRPr="00AC4A0D">
        <w:rPr>
          <w:rFonts w:ascii="Times New Roman" w:hAnsi="Times New Roman"/>
          <w:b/>
          <w:i/>
          <w:color w:val="000000"/>
          <w:sz w:val="28"/>
          <w:szCs w:val="28"/>
          <w:u w:color="000000"/>
        </w:rPr>
        <w:t>. Встановлення підстав перевірок органами Антимонопольного комітету України суб’єктів господарювання та об’єднань</w:t>
      </w:r>
    </w:p>
    <w:p w:rsidR="00D07E55"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222222"/>
          <w:sz w:val="28"/>
          <w:szCs w:val="28"/>
          <w:u w:color="222222"/>
        </w:rPr>
      </w:pPr>
      <w:r w:rsidRPr="00AC4A0D">
        <w:rPr>
          <w:rFonts w:ascii="Times New Roman" w:hAnsi="Times New Roman"/>
          <w:color w:val="222222"/>
          <w:sz w:val="28"/>
          <w:szCs w:val="28"/>
          <w:u w:color="222222"/>
        </w:rPr>
        <w:t>На теперішній час порядок проведення перевірок органами Антимонопольного комітету України передбачає право на проведення перевірок суб’єктів господарювання та їх об’єднань навіть у</w:t>
      </w:r>
      <w:r w:rsidRPr="00AC4A0D" w:rsidR="00C04F21">
        <w:rPr>
          <w:rFonts w:ascii="Times New Roman" w:hAnsi="Times New Roman"/>
          <w:color w:val="222222"/>
          <w:sz w:val="28"/>
          <w:szCs w:val="28"/>
          <w:u w:color="222222"/>
        </w:rPr>
        <w:t xml:space="preserve"> разі</w:t>
      </w:r>
      <w:r w:rsidRPr="00AC4A0D">
        <w:rPr>
          <w:rFonts w:ascii="Times New Roman" w:hAnsi="Times New Roman"/>
          <w:color w:val="222222"/>
          <w:sz w:val="28"/>
          <w:szCs w:val="28"/>
          <w:u w:color="222222"/>
        </w:rPr>
        <w:t xml:space="preserve"> відсутності ознак порушення конкуренційного </w:t>
      </w:r>
      <w:r w:rsidRPr="00AC4A0D" w:rsidR="00007544">
        <w:rPr>
          <w:rFonts w:ascii="Times New Roman" w:hAnsi="Times New Roman"/>
          <w:color w:val="222222"/>
          <w:sz w:val="28"/>
          <w:szCs w:val="28"/>
          <w:u w:color="222222"/>
        </w:rPr>
        <w:t>законодавства. Це може призводити</w:t>
      </w:r>
      <w:r w:rsidRPr="00AC4A0D">
        <w:rPr>
          <w:rFonts w:ascii="Times New Roman" w:hAnsi="Times New Roman"/>
          <w:color w:val="222222"/>
          <w:sz w:val="28"/>
          <w:szCs w:val="28"/>
          <w:u w:color="222222"/>
        </w:rPr>
        <w:t xml:space="preserve"> до порушення принципу правової визначеності та не відповідає європейському законодавству.</w:t>
      </w:r>
    </w:p>
    <w:p w:rsidR="00D07E55"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000000"/>
          <w:sz w:val="28"/>
          <w:szCs w:val="28"/>
          <w:shd w:val="clear" w:color="auto" w:fill="FFFFFF"/>
        </w:rPr>
      </w:pPr>
      <w:r w:rsidRPr="00AC4A0D">
        <w:rPr>
          <w:rFonts w:ascii="Times New Roman" w:hAnsi="Times New Roman"/>
          <w:color w:val="222222"/>
          <w:sz w:val="28"/>
          <w:szCs w:val="28"/>
          <w:u w:color="222222"/>
        </w:rPr>
        <w:t>З метою приведення порядку проведення перевірок суб’єктів господарювання та об’єднань до частини першої статті 17 Регламенту Ради ЄС 1/2003</w:t>
      </w:r>
      <w:r w:rsidRPr="00AC4A0D" w:rsidR="00442671">
        <w:rPr>
          <w:rFonts w:ascii="Times New Roman" w:hAnsi="Times New Roman"/>
          <w:color w:val="222222"/>
          <w:sz w:val="28"/>
          <w:szCs w:val="28"/>
          <w:u w:color="222222"/>
        </w:rPr>
        <w:t>,</w:t>
      </w:r>
      <w:r w:rsidRPr="00AC4A0D">
        <w:rPr>
          <w:rFonts w:ascii="Times New Roman" w:hAnsi="Times New Roman"/>
          <w:color w:val="222222"/>
          <w:sz w:val="28"/>
          <w:szCs w:val="28"/>
          <w:u w:color="222222"/>
        </w:rPr>
        <w:t xml:space="preserve"> законопроектом передбачається встановити повноваження органів Антимонопольного комітету України щодо перевірок суб’єктів господарювання і об’єднань</w:t>
      </w:r>
      <w:r w:rsidRPr="00AC4A0D" w:rsidR="00442671">
        <w:rPr>
          <w:rFonts w:ascii="Times New Roman" w:hAnsi="Times New Roman"/>
          <w:color w:val="222222"/>
          <w:sz w:val="28"/>
          <w:szCs w:val="28"/>
          <w:u w:color="222222"/>
        </w:rPr>
        <w:t xml:space="preserve"> лише</w:t>
      </w:r>
      <w:r w:rsidRPr="00AC4A0D">
        <w:rPr>
          <w:rFonts w:ascii="Times New Roman" w:hAnsi="Times New Roman"/>
          <w:color w:val="222222"/>
          <w:sz w:val="28"/>
          <w:szCs w:val="28"/>
          <w:u w:color="222222"/>
        </w:rPr>
        <w:t xml:space="preserve"> </w:t>
      </w:r>
      <w:r w:rsidRPr="00AC4A0D">
        <w:rPr>
          <w:rFonts w:ascii="Times New Roman" w:hAnsi="Times New Roman"/>
          <w:color w:val="000000"/>
          <w:sz w:val="28"/>
          <w:szCs w:val="28"/>
          <w:shd w:val="clear" w:color="auto" w:fill="FFFFFF"/>
        </w:rPr>
        <w:t>у разі наявності ознак порушення конкуренційного законодавства в діях суб’єкта господарювання</w:t>
      </w:r>
      <w:r w:rsidRPr="00AC4A0D">
        <w:rPr>
          <w:rFonts w:ascii="Times New Roman" w:hAnsi="Times New Roman"/>
          <w:sz w:val="28"/>
          <w:szCs w:val="28"/>
          <w:shd w:val="clear" w:color="auto" w:fill="FFFFFF"/>
        </w:rPr>
        <w:t xml:space="preserve"> </w:t>
      </w:r>
      <w:r w:rsidRPr="00AC4A0D">
        <w:rPr>
          <w:rFonts w:ascii="Times New Roman" w:hAnsi="Times New Roman"/>
          <w:color w:val="000000"/>
          <w:sz w:val="28"/>
          <w:szCs w:val="28"/>
          <w:shd w:val="clear" w:color="auto" w:fill="FFFFFF"/>
        </w:rPr>
        <w:t>з метою збирання доказів цього порушення та під час проведення розслідувань за заявами і справами про порушення конкуренційного законодавства суб’</w:t>
      </w:r>
      <w:r w:rsidRPr="00AC4A0D">
        <w:rPr>
          <w:rFonts w:ascii="Times New Roman" w:hAnsi="Times New Roman"/>
          <w:sz w:val="28"/>
          <w:szCs w:val="28"/>
          <w:shd w:val="clear" w:color="auto" w:fill="FFFFFF"/>
        </w:rPr>
        <w:t>єктами гос</w:t>
      </w:r>
      <w:r w:rsidRPr="00AC4A0D">
        <w:rPr>
          <w:rFonts w:ascii="Times New Roman" w:hAnsi="Times New Roman"/>
          <w:color w:val="000000"/>
          <w:sz w:val="28"/>
          <w:szCs w:val="28"/>
          <w:shd w:val="clear" w:color="auto" w:fill="FFFFFF"/>
        </w:rPr>
        <w:t>подарювання.</w:t>
      </w:r>
    </w:p>
    <w:p w:rsidR="00072491"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b/>
          <w:i/>
          <w:color w:val="000000"/>
          <w:sz w:val="28"/>
          <w:szCs w:val="28"/>
          <w:shd w:val="clear" w:color="auto" w:fill="FFFFFF"/>
        </w:rPr>
      </w:pPr>
      <w:r w:rsidRPr="00AC4A0D" w:rsidR="00D37EB9">
        <w:rPr>
          <w:rFonts w:ascii="Times New Roman" w:hAnsi="Times New Roman"/>
          <w:b/>
          <w:i/>
          <w:color w:val="000000"/>
          <w:sz w:val="28"/>
          <w:szCs w:val="28"/>
          <w:shd w:val="clear" w:color="auto" w:fill="FFFFFF"/>
        </w:rPr>
        <w:t>1.3</w:t>
      </w:r>
      <w:r w:rsidRPr="00AC4A0D">
        <w:rPr>
          <w:rFonts w:ascii="Times New Roman" w:hAnsi="Times New Roman"/>
          <w:b/>
          <w:i/>
          <w:color w:val="000000"/>
          <w:sz w:val="28"/>
          <w:szCs w:val="28"/>
          <w:shd w:val="clear" w:color="auto" w:fill="FFFFFF"/>
        </w:rPr>
        <w:t>. Запровадження правового інституту врегулювання спору між органом Антимонопольного комітету України та суб’єктом господарювання у справах про порушення конкуренційного законодавства</w:t>
      </w:r>
      <w:r w:rsidRPr="00AC4A0D" w:rsidR="00213552">
        <w:rPr>
          <w:rFonts w:ascii="Times New Roman" w:hAnsi="Times New Roman"/>
          <w:b/>
          <w:i/>
          <w:color w:val="000000"/>
          <w:sz w:val="28"/>
          <w:szCs w:val="28"/>
          <w:shd w:val="clear" w:color="auto" w:fill="FFFFFF"/>
        </w:rPr>
        <w:t xml:space="preserve"> (</w:t>
      </w:r>
      <w:r w:rsidRPr="00AC4A0D" w:rsidR="00007544">
        <w:rPr>
          <w:rFonts w:ascii="Times New Roman" w:hAnsi="Times New Roman"/>
          <w:b/>
          <w:i/>
          <w:color w:val="000000"/>
          <w:sz w:val="28"/>
          <w:szCs w:val="28"/>
          <w:shd w:val="clear" w:color="auto" w:fill="FFFFFF"/>
          <w:lang w:val="en-US"/>
        </w:rPr>
        <w:t>Settl</w:t>
      </w:r>
      <w:r w:rsidRPr="00AC4A0D" w:rsidR="00261D43">
        <w:rPr>
          <w:rFonts w:ascii="Times New Roman" w:hAnsi="Times New Roman"/>
          <w:b/>
          <w:i/>
          <w:color w:val="000000"/>
          <w:sz w:val="28"/>
          <w:szCs w:val="28"/>
          <w:shd w:val="clear" w:color="auto" w:fill="FFFFFF"/>
          <w:lang w:val="en-US"/>
        </w:rPr>
        <w:t>e</w:t>
      </w:r>
      <w:r w:rsidRPr="00AC4A0D" w:rsidR="00007544">
        <w:rPr>
          <w:rFonts w:ascii="Times New Roman" w:hAnsi="Times New Roman"/>
          <w:b/>
          <w:i/>
          <w:color w:val="000000"/>
          <w:sz w:val="28"/>
          <w:szCs w:val="28"/>
          <w:shd w:val="clear" w:color="auto" w:fill="FFFFFF"/>
          <w:lang w:val="en-US"/>
        </w:rPr>
        <w:t>ment</w:t>
      </w:r>
      <w:r w:rsidRPr="00AC4A0D" w:rsidR="00213552">
        <w:rPr>
          <w:rFonts w:ascii="Times New Roman" w:hAnsi="Times New Roman"/>
          <w:b/>
          <w:i/>
          <w:color w:val="000000"/>
          <w:sz w:val="28"/>
          <w:szCs w:val="28"/>
          <w:shd w:val="clear" w:color="auto" w:fill="FFFFFF"/>
        </w:rPr>
        <w:t>)</w:t>
      </w:r>
    </w:p>
    <w:p w:rsidR="00875A98"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000000"/>
          <w:sz w:val="28"/>
          <w:szCs w:val="28"/>
          <w:shd w:val="clear" w:color="auto" w:fill="FFFFFF"/>
          <w:lang w:val="ru-RU"/>
        </w:rPr>
      </w:pPr>
      <w:r w:rsidRPr="00AC4A0D" w:rsidR="00126111">
        <w:rPr>
          <w:rFonts w:ascii="Times New Roman" w:hAnsi="Times New Roman"/>
          <w:color w:val="000000"/>
          <w:sz w:val="28"/>
          <w:szCs w:val="28"/>
          <w:shd w:val="clear" w:color="auto" w:fill="FFFFFF"/>
          <w:lang w:val="ru-RU"/>
        </w:rPr>
        <w:t xml:space="preserve">Ця процедура надає можливість з одного боку Антимонопольному комітету України – більш оперативно та результативно забезпечувати виявлення та припинення порушень конкуренційного законодавства, перш за все, зловживанні монопольним (домінуючим) становищем на ринку, а суб'єктам господарювання – отримувати зниження розміру штрафу з урахуванням виконання </w:t>
      </w:r>
      <w:r w:rsidRPr="00AC4A0D" w:rsidR="00007544">
        <w:rPr>
          <w:rFonts w:ascii="Times New Roman" w:hAnsi="Times New Roman"/>
          <w:color w:val="000000"/>
          <w:sz w:val="28"/>
          <w:szCs w:val="28"/>
          <w:shd w:val="clear" w:color="auto" w:fill="FFFFFF"/>
          <w:lang w:val="ru-RU"/>
        </w:rPr>
        <w:t>ними</w:t>
      </w:r>
      <w:r w:rsidRPr="00AC4A0D" w:rsidR="00126111">
        <w:rPr>
          <w:rFonts w:ascii="Times New Roman" w:hAnsi="Times New Roman"/>
          <w:color w:val="000000"/>
          <w:sz w:val="28"/>
          <w:szCs w:val="28"/>
          <w:shd w:val="clear" w:color="auto" w:fill="FFFFFF"/>
          <w:lang w:val="ru-RU"/>
        </w:rPr>
        <w:t xml:space="preserve"> законних вимог Антимонопольного комітету України.</w:t>
      </w:r>
    </w:p>
    <w:p w:rsidR="003B6562"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b/>
          <w:i/>
          <w:color w:val="000000"/>
          <w:sz w:val="28"/>
          <w:szCs w:val="28"/>
          <w:shd w:val="clear" w:color="auto" w:fill="FFFFFF"/>
          <w:lang w:val="ru-RU"/>
        </w:rPr>
      </w:pPr>
      <w:r w:rsidRPr="00AC4A0D" w:rsidR="00D37EB9">
        <w:rPr>
          <w:rFonts w:ascii="Times New Roman" w:hAnsi="Times New Roman"/>
          <w:b/>
          <w:i/>
          <w:color w:val="000000"/>
          <w:sz w:val="28"/>
          <w:szCs w:val="28"/>
          <w:shd w:val="clear" w:color="auto" w:fill="FFFFFF"/>
          <w:lang w:val="ru-RU"/>
        </w:rPr>
        <w:t>1.4</w:t>
      </w:r>
      <w:r w:rsidRPr="00AC4A0D" w:rsidR="00793FE0">
        <w:rPr>
          <w:rFonts w:ascii="Times New Roman" w:hAnsi="Times New Roman"/>
          <w:b/>
          <w:i/>
          <w:color w:val="000000"/>
          <w:sz w:val="28"/>
          <w:szCs w:val="28"/>
          <w:shd w:val="clear" w:color="auto" w:fill="FFFFFF"/>
          <w:lang w:val="ru-RU"/>
        </w:rPr>
        <w:t xml:space="preserve">. </w:t>
      </w:r>
      <w:r w:rsidRPr="00AC4A0D">
        <w:rPr>
          <w:rFonts w:ascii="Times New Roman" w:hAnsi="Times New Roman"/>
          <w:b/>
          <w:i/>
          <w:color w:val="000000"/>
          <w:sz w:val="28"/>
          <w:szCs w:val="28"/>
          <w:shd w:val="clear" w:color="auto" w:fill="FFFFFF"/>
          <w:lang w:val="ru-RU"/>
        </w:rPr>
        <w:t>Встановлення порядку та підстав звільнення від відповідальності учасників антиконкурентних узгоджених дій</w:t>
      </w:r>
      <w:r w:rsidRPr="00AC4A0D" w:rsidR="002B6422">
        <w:rPr>
          <w:rFonts w:ascii="Times New Roman" w:hAnsi="Times New Roman"/>
          <w:b/>
          <w:i/>
          <w:color w:val="000000"/>
          <w:sz w:val="28"/>
          <w:szCs w:val="28"/>
          <w:shd w:val="clear" w:color="auto" w:fill="FFFFFF"/>
          <w:lang w:val="ru-RU"/>
        </w:rPr>
        <w:t xml:space="preserve"> </w:t>
      </w:r>
      <w:r w:rsidRPr="00AC4A0D">
        <w:rPr>
          <w:rFonts w:ascii="Times New Roman" w:hAnsi="Times New Roman"/>
          <w:b/>
          <w:i/>
          <w:color w:val="000000"/>
          <w:sz w:val="28"/>
          <w:szCs w:val="28"/>
          <w:shd w:val="clear" w:color="auto" w:fill="FFFFFF"/>
          <w:lang w:val="ru-RU"/>
        </w:rPr>
        <w:t>у разі їх добровільного звернення до Комітету (</w:t>
      </w:r>
      <w:r w:rsidRPr="00AC4A0D" w:rsidR="00261D43">
        <w:rPr>
          <w:rFonts w:ascii="Times New Roman" w:hAnsi="Times New Roman"/>
          <w:color w:val="000000"/>
          <w:sz w:val="28"/>
          <w:szCs w:val="28"/>
          <w:shd w:val="clear" w:color="auto" w:fill="FFFFFF"/>
          <w:lang w:val="en-US"/>
        </w:rPr>
        <w:t>L</w:t>
      </w:r>
      <w:r w:rsidRPr="00AC4A0D" w:rsidR="00261D43">
        <w:rPr>
          <w:rFonts w:ascii="Times New Roman" w:hAnsi="Times New Roman"/>
          <w:color w:val="000000"/>
          <w:sz w:val="28"/>
          <w:szCs w:val="28"/>
          <w:shd w:val="clear" w:color="auto" w:fill="FFFFFF"/>
          <w:lang w:val="en-GB"/>
        </w:rPr>
        <w:t>eniency</w:t>
      </w:r>
      <w:r w:rsidRPr="00AC4A0D">
        <w:rPr>
          <w:rFonts w:ascii="Times New Roman" w:hAnsi="Times New Roman"/>
          <w:b/>
          <w:i/>
          <w:color w:val="000000"/>
          <w:sz w:val="28"/>
          <w:szCs w:val="28"/>
          <w:shd w:val="clear" w:color="auto" w:fill="FFFFFF"/>
          <w:lang w:val="ru-RU"/>
        </w:rPr>
        <w:t>)</w:t>
      </w:r>
    </w:p>
    <w:p w:rsidR="00793FE0"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000000"/>
          <w:sz w:val="28"/>
          <w:szCs w:val="28"/>
          <w:shd w:val="clear" w:color="auto" w:fill="FFFFFF"/>
          <w:lang w:val="ru-RU"/>
        </w:rPr>
      </w:pPr>
      <w:r w:rsidRPr="00AC4A0D">
        <w:rPr>
          <w:rFonts w:ascii="Times New Roman" w:hAnsi="Times New Roman"/>
          <w:color w:val="000000"/>
          <w:sz w:val="28"/>
          <w:szCs w:val="28"/>
          <w:shd w:val="clear" w:color="auto" w:fill="FFFFFF"/>
          <w:lang w:val="ru-RU"/>
        </w:rPr>
        <w:t>Законопроектом запро</w:t>
      </w:r>
      <w:r w:rsidRPr="00AC4A0D" w:rsidR="001E71D7">
        <w:rPr>
          <w:rFonts w:ascii="Times New Roman" w:hAnsi="Times New Roman"/>
          <w:color w:val="000000"/>
          <w:sz w:val="28"/>
          <w:szCs w:val="28"/>
          <w:shd w:val="clear" w:color="auto" w:fill="FFFFFF"/>
          <w:lang w:val="ru-RU"/>
        </w:rPr>
        <w:t>ваджу</w:t>
      </w:r>
      <w:r w:rsidRPr="00AC4A0D">
        <w:rPr>
          <w:rFonts w:ascii="Times New Roman" w:hAnsi="Times New Roman"/>
          <w:color w:val="000000"/>
          <w:sz w:val="28"/>
          <w:szCs w:val="28"/>
          <w:shd w:val="clear" w:color="auto" w:fill="FFFFFF"/>
          <w:lang w:val="ru-RU"/>
        </w:rPr>
        <w:t>ється новий правовий інститут звільнення від відповідальності суб'єкта господарювання, який разом із конкурентами вчинив антиконкуренті узгоджені дії, передбачені пунктами 1-4 частини другої статті 6 Закону України «Про захист економічної конкуренції», якщо цей суб'єкт господарювання раніше за інших учасників цих дій добровільно повідомив Антимонопольний комітет України про їх вчинення та звернувся до Комітету з відповідною заявою.</w:t>
      </w:r>
    </w:p>
    <w:p w:rsidR="00793FE0"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000000"/>
          <w:sz w:val="28"/>
          <w:szCs w:val="28"/>
          <w:shd w:val="clear" w:color="auto" w:fill="FFFFFF"/>
          <w:lang w:val="ru-RU"/>
        </w:rPr>
      </w:pPr>
      <w:r w:rsidRPr="00AC4A0D">
        <w:rPr>
          <w:rFonts w:ascii="Times New Roman" w:hAnsi="Times New Roman"/>
          <w:color w:val="000000"/>
          <w:sz w:val="28"/>
          <w:szCs w:val="28"/>
          <w:shd w:val="clear" w:color="auto" w:fill="FFFFFF"/>
          <w:lang w:val="ru-RU"/>
        </w:rPr>
        <w:t>Також передбачено підстави та порядок зменшення розміру штрафу для інших учасників цих антиконкурентих узгоджених дій у разі</w:t>
      </w:r>
      <w:r w:rsidRPr="00AC4A0D" w:rsidR="00281D1C">
        <w:rPr>
          <w:rFonts w:ascii="Times New Roman" w:hAnsi="Times New Roman"/>
          <w:color w:val="000000"/>
          <w:sz w:val="28"/>
          <w:szCs w:val="28"/>
          <w:shd w:val="clear" w:color="auto" w:fill="FFFFFF"/>
          <w:lang w:val="ru-RU"/>
        </w:rPr>
        <w:t xml:space="preserve"> звернення до Комітету та </w:t>
      </w:r>
      <w:r w:rsidRPr="00AC4A0D">
        <w:rPr>
          <w:rFonts w:ascii="Times New Roman" w:hAnsi="Times New Roman"/>
          <w:color w:val="000000"/>
          <w:sz w:val="28"/>
          <w:szCs w:val="28"/>
          <w:shd w:val="clear" w:color="auto" w:fill="FFFFFF"/>
          <w:lang w:val="ru-RU"/>
        </w:rPr>
        <w:t xml:space="preserve"> надання доказів вчинення цих дій.</w:t>
      </w:r>
    </w:p>
    <w:p w:rsidR="00793FE0"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000000"/>
          <w:sz w:val="28"/>
          <w:szCs w:val="28"/>
          <w:shd w:val="clear" w:color="auto" w:fill="FFFFFF"/>
          <w:lang w:val="ru-RU"/>
        </w:rPr>
      </w:pPr>
      <w:r w:rsidRPr="00AC4A0D">
        <w:rPr>
          <w:rFonts w:ascii="Times New Roman" w:hAnsi="Times New Roman"/>
          <w:color w:val="000000"/>
          <w:sz w:val="28"/>
          <w:szCs w:val="28"/>
          <w:shd w:val="clear" w:color="auto" w:fill="FFFFFF"/>
          <w:lang w:val="ru-RU"/>
        </w:rPr>
        <w:t xml:space="preserve">Цей правовий інститут </w:t>
      </w:r>
      <w:r w:rsidRPr="00AC4A0D">
        <w:rPr>
          <w:rFonts w:ascii="Times New Roman" w:hAnsi="Times New Roman"/>
          <w:color w:val="000000"/>
          <w:sz w:val="28"/>
          <w:szCs w:val="28"/>
          <w:shd w:val="clear" w:color="auto" w:fill="FFFFFF"/>
          <w:lang w:val="ru-RU"/>
        </w:rPr>
        <w:t>(</w:t>
      </w:r>
      <w:r w:rsidRPr="00AC4A0D" w:rsidR="0090146F">
        <w:rPr>
          <w:rFonts w:ascii="Times New Roman" w:hAnsi="Times New Roman"/>
          <w:color w:val="000000"/>
          <w:sz w:val="28"/>
          <w:szCs w:val="28"/>
          <w:shd w:val="clear" w:color="auto" w:fill="FFFFFF"/>
          <w:lang w:val="en-GB"/>
        </w:rPr>
        <w:t>L</w:t>
      </w:r>
      <w:r w:rsidRPr="00AC4A0D" w:rsidR="00261D43">
        <w:rPr>
          <w:rFonts w:ascii="Times New Roman" w:hAnsi="Times New Roman"/>
          <w:color w:val="000000"/>
          <w:sz w:val="28"/>
          <w:szCs w:val="28"/>
          <w:shd w:val="clear" w:color="auto" w:fill="FFFFFF"/>
          <w:lang w:val="en-GB"/>
        </w:rPr>
        <w:t>eniency</w:t>
      </w:r>
      <w:r w:rsidRPr="00AC4A0D">
        <w:rPr>
          <w:rFonts w:ascii="Times New Roman" w:hAnsi="Times New Roman"/>
          <w:color w:val="000000"/>
          <w:sz w:val="28"/>
          <w:szCs w:val="28"/>
          <w:shd w:val="clear" w:color="auto" w:fill="FFFFFF"/>
          <w:lang w:val="ru-RU"/>
        </w:rPr>
        <w:t>)</w:t>
      </w:r>
      <w:r w:rsidRPr="00AC4A0D">
        <w:rPr>
          <w:rFonts w:ascii="Times New Roman" w:hAnsi="Times New Roman"/>
          <w:color w:val="000000"/>
          <w:sz w:val="28"/>
          <w:szCs w:val="28"/>
          <w:shd w:val="clear" w:color="auto" w:fill="FFFFFF"/>
          <w:lang w:val="ru-RU"/>
        </w:rPr>
        <w:t xml:space="preserve"> успішно застосовується антимонопольними відомствами інших країн і сприяє недопущенню та припиненню цих найбільш тяжких порушень конкуренційного законодавств</w:t>
      </w:r>
      <w:r w:rsidRPr="00AC4A0D" w:rsidR="002E4B8E">
        <w:rPr>
          <w:rFonts w:ascii="Times New Roman" w:hAnsi="Times New Roman"/>
          <w:color w:val="000000"/>
          <w:sz w:val="28"/>
          <w:szCs w:val="28"/>
          <w:shd w:val="clear" w:color="auto" w:fill="FFFFFF"/>
          <w:lang w:val="ru-RU"/>
        </w:rPr>
        <w:t>а, які в Україні виявляються та припиняються лише в поодиноких випадках.</w:t>
      </w:r>
    </w:p>
    <w:p w:rsidR="00213552"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000000"/>
          <w:sz w:val="28"/>
          <w:szCs w:val="28"/>
          <w:shd w:val="clear" w:color="auto" w:fill="FFFFFF"/>
          <w:lang w:val="ru-RU"/>
        </w:rPr>
      </w:pPr>
      <w:r w:rsidRPr="00AC4A0D">
        <w:rPr>
          <w:rFonts w:ascii="Times New Roman" w:hAnsi="Times New Roman"/>
          <w:color w:val="000000"/>
          <w:sz w:val="28"/>
          <w:szCs w:val="28"/>
          <w:shd w:val="clear" w:color="auto" w:fill="FFFFFF"/>
          <w:lang w:val="ru-RU"/>
        </w:rPr>
        <w:t xml:space="preserve">Запровадження цього правового інституту дозволить розпочати в Україні рішучу боротьбу з </w:t>
      </w:r>
      <w:r w:rsidRPr="00AC4A0D" w:rsidR="00C70DC0">
        <w:rPr>
          <w:rFonts w:ascii="Times New Roman" w:hAnsi="Times New Roman"/>
          <w:color w:val="000000"/>
          <w:sz w:val="28"/>
          <w:szCs w:val="28"/>
          <w:shd w:val="clear" w:color="auto" w:fill="FFFFFF"/>
          <w:lang w:val="ru-RU"/>
        </w:rPr>
        <w:t>антиконкурентними узгодженими діями суб'єктів господарювання</w:t>
      </w:r>
      <w:r w:rsidRPr="00AC4A0D">
        <w:rPr>
          <w:rFonts w:ascii="Times New Roman" w:hAnsi="Times New Roman"/>
          <w:color w:val="000000"/>
          <w:sz w:val="28"/>
          <w:szCs w:val="28"/>
          <w:shd w:val="clear" w:color="auto" w:fill="FFFFFF"/>
          <w:lang w:val="ru-RU"/>
        </w:rPr>
        <w:t>.</w:t>
      </w:r>
    </w:p>
    <w:p w:rsidR="00875A98"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rPr>
          <w:rFonts w:ascii="Times New Roman" w:hAnsi="Times New Roman"/>
          <w:b/>
          <w:i/>
          <w:color w:val="000000"/>
          <w:sz w:val="28"/>
          <w:szCs w:val="28"/>
          <w:shd w:val="clear" w:color="auto" w:fill="FFFFFF"/>
        </w:rPr>
      </w:pPr>
      <w:r w:rsidRPr="00AC4A0D" w:rsidR="00D37EB9">
        <w:rPr>
          <w:rFonts w:ascii="Times New Roman" w:hAnsi="Times New Roman"/>
          <w:b/>
          <w:i/>
          <w:color w:val="000000"/>
          <w:sz w:val="28"/>
          <w:szCs w:val="28"/>
          <w:shd w:val="clear" w:color="auto" w:fill="FFFFFF"/>
          <w:lang w:val="ru-RU"/>
        </w:rPr>
        <w:t>1.5</w:t>
      </w:r>
      <w:r w:rsidRPr="00AC4A0D">
        <w:rPr>
          <w:rFonts w:ascii="Times New Roman" w:hAnsi="Times New Roman"/>
          <w:b/>
          <w:i/>
          <w:color w:val="000000"/>
          <w:sz w:val="28"/>
          <w:szCs w:val="28"/>
          <w:shd w:val="clear" w:color="auto" w:fill="FFFFFF"/>
          <w:lang w:val="ru-RU"/>
        </w:rPr>
        <w:t>. Судова реформа у сфері конкуренції</w:t>
      </w:r>
      <w:r w:rsidRPr="00AC4A0D" w:rsidR="00FF613E">
        <w:rPr>
          <w:rFonts w:ascii="Times New Roman" w:hAnsi="Times New Roman"/>
          <w:b/>
          <w:i/>
          <w:color w:val="000000"/>
          <w:sz w:val="28"/>
          <w:szCs w:val="28"/>
          <w:shd w:val="clear" w:color="auto" w:fill="FFFFFF"/>
        </w:rPr>
        <w:t>. Утворення</w:t>
      </w:r>
      <w:r w:rsidRPr="00AC4A0D" w:rsidR="002B6422">
        <w:rPr>
          <w:rFonts w:ascii="Times New Roman" w:hAnsi="Times New Roman"/>
          <w:b/>
          <w:i/>
          <w:color w:val="000000"/>
          <w:sz w:val="28"/>
          <w:szCs w:val="28"/>
          <w:shd w:val="clear" w:color="auto" w:fill="FFFFFF"/>
        </w:rPr>
        <w:t xml:space="preserve"> спеціалізованого суду </w:t>
      </w:r>
    </w:p>
    <w:p w:rsidR="00875A98" w:rsidRPr="00AC4A0D" w:rsidP="00AC4A0D">
      <w:p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ind w:firstLine="709"/>
        <w:rPr>
          <w:rFonts w:ascii="Times New Roman" w:hAnsi="Times New Roman"/>
          <w:color w:val="000000"/>
          <w:sz w:val="28"/>
          <w:szCs w:val="28"/>
          <w:shd w:val="clear" w:color="auto" w:fill="FFFFFF"/>
          <w:lang w:val="ru-RU"/>
        </w:rPr>
      </w:pPr>
      <w:r w:rsidRPr="00AC4A0D" w:rsidR="001D08D8">
        <w:rPr>
          <w:rFonts w:ascii="Times New Roman" w:hAnsi="Times New Roman"/>
          <w:color w:val="000000"/>
          <w:sz w:val="28"/>
          <w:szCs w:val="28"/>
          <w:shd w:val="clear" w:color="auto" w:fill="FFFFFF"/>
        </w:rPr>
        <w:t>З</w:t>
      </w:r>
      <w:r w:rsidRPr="00AC4A0D">
        <w:rPr>
          <w:rFonts w:ascii="Times New Roman" w:hAnsi="Times New Roman"/>
          <w:color w:val="000000"/>
          <w:sz w:val="28"/>
          <w:szCs w:val="28"/>
          <w:shd w:val="clear" w:color="auto" w:fill="FFFFFF"/>
        </w:rPr>
        <w:t xml:space="preserve"> урахуванням світового досвіду вирішення судових спорів у сфері конкуренції пропонується створення</w:t>
      </w:r>
      <w:r w:rsidRPr="00AC4A0D" w:rsidR="001D08D8">
        <w:rPr>
          <w:rFonts w:ascii="Times New Roman" w:hAnsi="Times New Roman"/>
          <w:color w:val="000000"/>
          <w:sz w:val="28"/>
          <w:szCs w:val="28"/>
          <w:shd w:val="clear" w:color="auto" w:fill="FFFFFF"/>
        </w:rPr>
        <w:t xml:space="preserve"> в Україні</w:t>
      </w:r>
      <w:r w:rsidRPr="00AC4A0D">
        <w:rPr>
          <w:rFonts w:ascii="Times New Roman" w:hAnsi="Times New Roman"/>
          <w:color w:val="000000"/>
          <w:sz w:val="28"/>
          <w:szCs w:val="28"/>
          <w:shd w:val="clear" w:color="auto" w:fill="FFFFFF"/>
        </w:rPr>
        <w:t xml:space="preserve"> спеціалізованого суду у с</w:t>
      </w:r>
      <w:r w:rsidRPr="00AC4A0D" w:rsidR="004571BC">
        <w:rPr>
          <w:rFonts w:ascii="Times New Roman" w:hAnsi="Times New Roman"/>
          <w:color w:val="000000"/>
          <w:sz w:val="28"/>
          <w:szCs w:val="28"/>
          <w:shd w:val="clear" w:color="auto" w:fill="FFFFFF"/>
        </w:rPr>
        <w:t>фері конкуренції, а саме поклада</w:t>
      </w:r>
      <w:r w:rsidRPr="00AC4A0D">
        <w:rPr>
          <w:rFonts w:ascii="Times New Roman" w:hAnsi="Times New Roman"/>
          <w:color w:val="000000"/>
          <w:sz w:val="28"/>
          <w:szCs w:val="28"/>
          <w:shd w:val="clear" w:color="auto" w:fill="FFFFFF"/>
        </w:rPr>
        <w:t xml:space="preserve">ння повноважень з вирішення спорів у сфері конкуренції </w:t>
      </w:r>
      <w:r w:rsidRPr="00AC4A0D" w:rsidR="004571BC">
        <w:rPr>
          <w:rFonts w:ascii="Times New Roman" w:hAnsi="Times New Roman"/>
          <w:color w:val="000000"/>
          <w:sz w:val="28"/>
          <w:szCs w:val="28"/>
          <w:shd w:val="clear" w:color="auto" w:fill="FFFFFF"/>
        </w:rPr>
        <w:t>на</w:t>
      </w:r>
      <w:r w:rsidRPr="00AC4A0D">
        <w:rPr>
          <w:rFonts w:ascii="Times New Roman" w:hAnsi="Times New Roman"/>
          <w:color w:val="000000"/>
          <w:sz w:val="28"/>
          <w:szCs w:val="28"/>
          <w:shd w:val="clear" w:color="auto" w:fill="FFFFFF"/>
        </w:rPr>
        <w:t xml:space="preserve"> вже створений Вищий суд з питань інтелектуальної власності, яки</w:t>
      </w:r>
      <w:r w:rsidRPr="00AC4A0D" w:rsidR="00D9393D">
        <w:rPr>
          <w:rFonts w:ascii="Times New Roman" w:hAnsi="Times New Roman"/>
          <w:color w:val="000000"/>
          <w:sz w:val="28"/>
          <w:szCs w:val="28"/>
          <w:shd w:val="clear" w:color="auto" w:fill="FFFFFF"/>
        </w:rPr>
        <w:t>й</w:t>
      </w:r>
      <w:r w:rsidRPr="00AC4A0D">
        <w:rPr>
          <w:rFonts w:ascii="Times New Roman" w:hAnsi="Times New Roman"/>
          <w:color w:val="000000"/>
          <w:sz w:val="28"/>
          <w:szCs w:val="28"/>
          <w:shd w:val="clear" w:color="auto" w:fill="FFFFFF"/>
        </w:rPr>
        <w:t xml:space="preserve"> пропонується </w:t>
      </w:r>
      <w:r w:rsidRPr="00AC4A0D" w:rsidR="00D9393D">
        <w:rPr>
          <w:rFonts w:ascii="Times New Roman" w:hAnsi="Times New Roman"/>
          <w:color w:val="000000"/>
          <w:sz w:val="28"/>
          <w:szCs w:val="28"/>
          <w:shd w:val="clear" w:color="auto" w:fill="FFFFFF"/>
        </w:rPr>
        <w:t>назвати Вищим</w:t>
      </w:r>
      <w:r w:rsidRPr="00AC4A0D">
        <w:rPr>
          <w:rFonts w:ascii="Times New Roman" w:hAnsi="Times New Roman"/>
          <w:color w:val="000000"/>
          <w:sz w:val="28"/>
          <w:szCs w:val="28"/>
          <w:shd w:val="clear" w:color="auto" w:fill="FFFFFF"/>
        </w:rPr>
        <w:t xml:space="preserve"> суд</w:t>
      </w:r>
      <w:r w:rsidRPr="00AC4A0D" w:rsidR="00D9393D">
        <w:rPr>
          <w:rFonts w:ascii="Times New Roman" w:hAnsi="Times New Roman"/>
          <w:color w:val="000000"/>
          <w:sz w:val="28"/>
          <w:szCs w:val="28"/>
          <w:shd w:val="clear" w:color="auto" w:fill="FFFFFF"/>
        </w:rPr>
        <w:t>ом</w:t>
      </w:r>
      <w:r w:rsidRPr="00AC4A0D">
        <w:rPr>
          <w:rFonts w:ascii="Times New Roman" w:hAnsi="Times New Roman"/>
          <w:color w:val="000000"/>
          <w:sz w:val="28"/>
          <w:szCs w:val="28"/>
          <w:shd w:val="clear" w:color="auto" w:fill="FFFFFF"/>
        </w:rPr>
        <w:t xml:space="preserve"> з питань інтелектуальної власності та економічної конкуренції.</w:t>
      </w:r>
      <w:r w:rsidRPr="00AC4A0D" w:rsidR="0000007A">
        <w:rPr>
          <w:rFonts w:ascii="Times New Roman" w:hAnsi="Times New Roman"/>
          <w:color w:val="000000"/>
          <w:sz w:val="28"/>
          <w:szCs w:val="28"/>
          <w:shd w:val="clear" w:color="auto" w:fill="FFFFFF"/>
        </w:rPr>
        <w:t xml:space="preserve"> </w:t>
      </w:r>
      <w:r w:rsidRPr="00AC4A0D" w:rsidR="0000007A">
        <w:rPr>
          <w:rFonts w:ascii="Times New Roman" w:hAnsi="Times New Roman"/>
          <w:color w:val="000000"/>
          <w:sz w:val="28"/>
          <w:szCs w:val="28"/>
          <w:shd w:val="clear" w:color="auto" w:fill="FFFFFF"/>
          <w:lang w:val="ru-RU"/>
        </w:rPr>
        <w:t>До повноважень цього суду пропонується віднести вирішення усіх спорів у сфері конкуренції, окрім оскарження рішень Антимонопольного комітету України у сфері розгляду скарг про порушення законодавства про публічні закупівлі.</w:t>
      </w:r>
      <w:r w:rsidRPr="00AC4A0D" w:rsidR="00CE6C68">
        <w:rPr>
          <w:rFonts w:ascii="Times New Roman" w:hAnsi="Times New Roman"/>
          <w:color w:val="000000"/>
          <w:sz w:val="28"/>
          <w:szCs w:val="28"/>
          <w:shd w:val="clear" w:color="auto" w:fill="FFFFFF"/>
          <w:lang w:val="ru-RU"/>
        </w:rPr>
        <w:t xml:space="preserve"> До повноважень цього суду також належатиме вирішення спорів, що випливають з Закону України «Про державну допомогу суб'єктам господарювання», про відшкодування шкоди, завданої порушеннями конкуренційного законодавства та прийняття рішень про надання дозволу Антимонопольному комітету України на перевірку суб'єктів господарювання у випадку вчинення ними дій, що містять ознаки антиконкурентних узгоджених дій суб'єктів господарювання та зловживання монопольним становищем на ринку. </w:t>
      </w:r>
    </w:p>
    <w:p w:rsidR="0050034E" w:rsidRPr="00AC4A0D" w:rsidP="00AC4A0D">
      <w:pPr>
        <w:bidi w:val="0"/>
        <w:ind w:firstLine="709"/>
        <w:rPr>
          <w:rFonts w:ascii="Times New Roman" w:hAnsi="Times New Roman"/>
          <w:b/>
          <w:i/>
          <w:sz w:val="28"/>
          <w:szCs w:val="28"/>
        </w:rPr>
      </w:pPr>
      <w:r w:rsidRPr="00AC4A0D" w:rsidR="00FF627C">
        <w:rPr>
          <w:rFonts w:ascii="Times New Roman" w:hAnsi="Times New Roman"/>
          <w:b/>
          <w:i/>
          <w:sz w:val="28"/>
          <w:szCs w:val="28"/>
        </w:rPr>
        <w:t>1.</w:t>
      </w:r>
      <w:r w:rsidRPr="00AC4A0D" w:rsidR="00D37EB9">
        <w:rPr>
          <w:rFonts w:ascii="Times New Roman" w:hAnsi="Times New Roman"/>
          <w:b/>
          <w:i/>
          <w:sz w:val="28"/>
          <w:szCs w:val="28"/>
        </w:rPr>
        <w:t>6</w:t>
      </w:r>
      <w:r w:rsidRPr="00AC4A0D">
        <w:rPr>
          <w:rFonts w:ascii="Times New Roman" w:hAnsi="Times New Roman"/>
          <w:b/>
          <w:i/>
          <w:sz w:val="28"/>
          <w:szCs w:val="28"/>
        </w:rPr>
        <w:t>. Підвищення розміру плати для відшкодування витрат, пов’язаних із розглядом заяв</w:t>
      </w:r>
      <w:r w:rsidRPr="00AC4A0D" w:rsidR="004C6FFE">
        <w:rPr>
          <w:rFonts w:ascii="Times New Roman" w:hAnsi="Times New Roman"/>
          <w:b/>
          <w:i/>
          <w:sz w:val="28"/>
          <w:szCs w:val="28"/>
        </w:rPr>
        <w:t xml:space="preserve"> про концентрацію, узгоджені дії</w:t>
      </w:r>
      <w:r w:rsidRPr="00AC4A0D" w:rsidR="001E71D7">
        <w:rPr>
          <w:rFonts w:ascii="Times New Roman" w:hAnsi="Times New Roman"/>
          <w:b/>
          <w:i/>
          <w:sz w:val="28"/>
          <w:szCs w:val="28"/>
        </w:rPr>
        <w:t>,</w:t>
      </w:r>
      <w:r w:rsidRPr="00AC4A0D" w:rsidR="004C6FFE">
        <w:rPr>
          <w:rFonts w:ascii="Times New Roman" w:hAnsi="Times New Roman"/>
          <w:b/>
          <w:i/>
          <w:sz w:val="28"/>
          <w:szCs w:val="28"/>
        </w:rPr>
        <w:t xml:space="preserve"> надання висновків органами Антимонопольного комітету України</w:t>
      </w:r>
    </w:p>
    <w:p w:rsidR="0050034E" w:rsidRPr="00AC4A0D" w:rsidP="00AC4A0D">
      <w:pPr>
        <w:bidi w:val="0"/>
        <w:ind w:firstLine="709"/>
        <w:rPr>
          <w:rFonts w:ascii="Times New Roman" w:hAnsi="Times New Roman"/>
          <w:sz w:val="28"/>
          <w:szCs w:val="28"/>
        </w:rPr>
      </w:pPr>
      <w:r w:rsidRPr="00AC4A0D">
        <w:rPr>
          <w:rFonts w:ascii="Times New Roman" w:hAnsi="Times New Roman"/>
          <w:sz w:val="28"/>
          <w:szCs w:val="28"/>
        </w:rPr>
        <w:t>Законопроектом передбачається підвищення розміру плати у разі подання заяв</w:t>
      </w:r>
      <w:r w:rsidRPr="00AC4A0D" w:rsidR="00155DF5">
        <w:rPr>
          <w:rFonts w:ascii="Times New Roman" w:hAnsi="Times New Roman"/>
          <w:sz w:val="28"/>
          <w:szCs w:val="28"/>
        </w:rPr>
        <w:t xml:space="preserve"> про </w:t>
      </w:r>
      <w:r w:rsidRPr="00AC4A0D" w:rsidR="004C6FFE">
        <w:rPr>
          <w:rFonts w:ascii="Times New Roman" w:hAnsi="Times New Roman"/>
          <w:sz w:val="28"/>
          <w:szCs w:val="28"/>
        </w:rPr>
        <w:t>на</w:t>
      </w:r>
      <w:r w:rsidRPr="00AC4A0D">
        <w:rPr>
          <w:rFonts w:ascii="Times New Roman" w:hAnsi="Times New Roman"/>
          <w:sz w:val="28"/>
          <w:szCs w:val="28"/>
        </w:rPr>
        <w:t>дання дозволу Антимонопольним комітетом України на концентрацію</w:t>
      </w:r>
      <w:r w:rsidRPr="00AC4A0D">
        <w:rPr>
          <w:rFonts w:ascii="Times New Roman" w:hAnsi="Times New Roman"/>
          <w:sz w:val="28"/>
          <w:szCs w:val="28"/>
        </w:rPr>
        <w:t>,</w:t>
      </w:r>
      <w:r w:rsidRPr="00AC4A0D" w:rsidR="00DB73D5">
        <w:rPr>
          <w:rFonts w:ascii="Times New Roman" w:hAnsi="Times New Roman"/>
          <w:sz w:val="28"/>
          <w:szCs w:val="28"/>
        </w:rPr>
        <w:t xml:space="preserve"> узгоджені дії, надання комітето</w:t>
      </w:r>
      <w:r w:rsidRPr="00AC4A0D">
        <w:rPr>
          <w:rFonts w:ascii="Times New Roman" w:hAnsi="Times New Roman"/>
          <w:sz w:val="28"/>
          <w:szCs w:val="28"/>
        </w:rPr>
        <w:t>м висновків, передбачених статтями 14, 29 Закону «Про захист економічної конкуренції» (попередні висновки стосовно концентрації, узгоджених дій; рекомендаційні роз’яснення щодо відповідності дій суб’єктів господарювання положенням законодавства). Це має на меті компенсувати витрати Антимонопольного комітету, пов’язані з розглядом відповідних заяв.</w:t>
      </w:r>
    </w:p>
    <w:p w:rsidR="00C927BE" w:rsidRPr="00AC4A0D" w:rsidP="00AC4A0D">
      <w:pPr>
        <w:bidi w:val="0"/>
        <w:ind w:firstLine="709"/>
        <w:rPr>
          <w:rFonts w:ascii="Times New Roman" w:hAnsi="Times New Roman"/>
          <w:b/>
          <w:i/>
          <w:sz w:val="28"/>
          <w:szCs w:val="28"/>
        </w:rPr>
      </w:pPr>
      <w:r w:rsidRPr="00AC4A0D" w:rsidR="00FF627C">
        <w:rPr>
          <w:rFonts w:ascii="Times New Roman" w:hAnsi="Times New Roman"/>
          <w:b/>
          <w:i/>
          <w:sz w:val="28"/>
          <w:szCs w:val="28"/>
        </w:rPr>
        <w:t>1.</w:t>
      </w:r>
      <w:r w:rsidRPr="00AC4A0D" w:rsidR="00D37EB9">
        <w:rPr>
          <w:rFonts w:ascii="Times New Roman" w:hAnsi="Times New Roman"/>
          <w:b/>
          <w:i/>
          <w:sz w:val="28"/>
          <w:szCs w:val="28"/>
        </w:rPr>
        <w:t>7</w:t>
      </w:r>
      <w:r w:rsidRPr="00AC4A0D" w:rsidR="0012392D">
        <w:rPr>
          <w:rFonts w:ascii="Times New Roman" w:hAnsi="Times New Roman"/>
          <w:b/>
          <w:i/>
          <w:sz w:val="28"/>
          <w:szCs w:val="28"/>
        </w:rPr>
        <w:t xml:space="preserve">. </w:t>
      </w:r>
      <w:r w:rsidRPr="00AC4A0D" w:rsidR="00B360B7">
        <w:rPr>
          <w:rFonts w:ascii="Times New Roman" w:hAnsi="Times New Roman"/>
          <w:b/>
          <w:i/>
          <w:sz w:val="28"/>
          <w:szCs w:val="28"/>
        </w:rPr>
        <w:t>Надання рівних повноважень щодо накладання штрафів за порушення конкуренційного законодавства колегіальним</w:t>
      </w:r>
      <w:r w:rsidRPr="00AC4A0D" w:rsidR="00810E62">
        <w:rPr>
          <w:rFonts w:ascii="Times New Roman" w:hAnsi="Times New Roman"/>
          <w:b/>
          <w:i/>
          <w:sz w:val="28"/>
          <w:szCs w:val="28"/>
        </w:rPr>
        <w:t>и</w:t>
      </w:r>
      <w:r w:rsidRPr="00AC4A0D" w:rsidR="0067119F">
        <w:rPr>
          <w:rFonts w:ascii="Times New Roman" w:hAnsi="Times New Roman"/>
          <w:b/>
          <w:i/>
          <w:sz w:val="28"/>
          <w:szCs w:val="28"/>
        </w:rPr>
        <w:t xml:space="preserve"> органа</w:t>
      </w:r>
      <w:r w:rsidRPr="00AC4A0D" w:rsidR="00B360B7">
        <w:rPr>
          <w:rFonts w:ascii="Times New Roman" w:hAnsi="Times New Roman"/>
          <w:b/>
          <w:i/>
          <w:sz w:val="28"/>
          <w:szCs w:val="28"/>
        </w:rPr>
        <w:t>м</w:t>
      </w:r>
      <w:r w:rsidRPr="00AC4A0D" w:rsidR="00810E62">
        <w:rPr>
          <w:rFonts w:ascii="Times New Roman" w:hAnsi="Times New Roman"/>
          <w:b/>
          <w:i/>
          <w:sz w:val="28"/>
          <w:szCs w:val="28"/>
        </w:rPr>
        <w:t>и</w:t>
      </w:r>
      <w:r w:rsidRPr="00AC4A0D" w:rsidR="00B360B7">
        <w:rPr>
          <w:rFonts w:ascii="Times New Roman" w:hAnsi="Times New Roman"/>
          <w:b/>
          <w:i/>
          <w:sz w:val="28"/>
          <w:szCs w:val="28"/>
        </w:rPr>
        <w:t xml:space="preserve"> Антимонопольного комітету України</w:t>
      </w:r>
    </w:p>
    <w:p w:rsidR="008B14CF" w:rsidRPr="00AC4A0D" w:rsidP="00AC4A0D">
      <w:pPr>
        <w:bidi w:val="0"/>
        <w:ind w:firstLine="709"/>
        <w:rPr>
          <w:rFonts w:ascii="Times New Roman" w:hAnsi="Times New Roman"/>
          <w:sz w:val="28"/>
          <w:szCs w:val="28"/>
        </w:rPr>
      </w:pPr>
      <w:r w:rsidRPr="00AC4A0D" w:rsidR="002F795F">
        <w:rPr>
          <w:rFonts w:ascii="Times New Roman" w:hAnsi="Times New Roman"/>
          <w:sz w:val="28"/>
          <w:szCs w:val="28"/>
        </w:rPr>
        <w:t>За змістом статті 52 Закону України «Про захист економічної конкуренції»</w:t>
      </w:r>
      <w:r w:rsidRPr="00AC4A0D" w:rsidR="000B5148">
        <w:rPr>
          <w:rFonts w:ascii="Times New Roman" w:hAnsi="Times New Roman"/>
          <w:sz w:val="28"/>
          <w:szCs w:val="28"/>
        </w:rPr>
        <w:t xml:space="preserve">, </w:t>
      </w:r>
      <w:r w:rsidRPr="00AC4A0D" w:rsidR="002F795F">
        <w:rPr>
          <w:rFonts w:ascii="Times New Roman" w:hAnsi="Times New Roman"/>
          <w:sz w:val="28"/>
          <w:szCs w:val="28"/>
        </w:rPr>
        <w:t xml:space="preserve"> штрафи за порушення кон</w:t>
      </w:r>
      <w:r w:rsidRPr="00AC4A0D" w:rsidR="00A81A0C">
        <w:rPr>
          <w:rFonts w:ascii="Times New Roman" w:hAnsi="Times New Roman"/>
          <w:sz w:val="28"/>
          <w:szCs w:val="28"/>
        </w:rPr>
        <w:t>к</w:t>
      </w:r>
      <w:r w:rsidRPr="00AC4A0D" w:rsidR="000F5578">
        <w:rPr>
          <w:rFonts w:ascii="Times New Roman" w:hAnsi="Times New Roman"/>
          <w:sz w:val="28"/>
          <w:szCs w:val="28"/>
        </w:rPr>
        <w:t xml:space="preserve">уренційного законодавства, </w:t>
      </w:r>
      <w:r w:rsidRPr="00AC4A0D" w:rsidR="002F795F">
        <w:rPr>
          <w:rFonts w:ascii="Times New Roman" w:hAnsi="Times New Roman"/>
          <w:sz w:val="28"/>
          <w:szCs w:val="28"/>
        </w:rPr>
        <w:t>визначені у відсотках доходу (ви</w:t>
      </w:r>
      <w:r w:rsidRPr="00AC4A0D" w:rsidR="000F5578">
        <w:rPr>
          <w:rFonts w:ascii="Times New Roman" w:hAnsi="Times New Roman"/>
          <w:sz w:val="28"/>
          <w:szCs w:val="28"/>
        </w:rPr>
        <w:t>ручки</w:t>
      </w:r>
      <w:r w:rsidRPr="00AC4A0D" w:rsidR="002F795F">
        <w:rPr>
          <w:rFonts w:ascii="Times New Roman" w:hAnsi="Times New Roman"/>
          <w:sz w:val="28"/>
          <w:szCs w:val="28"/>
        </w:rPr>
        <w:t>) суб’єкта господарю</w:t>
      </w:r>
      <w:r w:rsidRPr="00AC4A0D" w:rsidR="000F5578">
        <w:rPr>
          <w:rFonts w:ascii="Times New Roman" w:hAnsi="Times New Roman"/>
          <w:sz w:val="28"/>
          <w:szCs w:val="28"/>
        </w:rPr>
        <w:t xml:space="preserve">вання від реалізації продукції, </w:t>
      </w:r>
      <w:r w:rsidRPr="00AC4A0D" w:rsidR="002F795F">
        <w:rPr>
          <w:rFonts w:ascii="Times New Roman" w:hAnsi="Times New Roman"/>
          <w:sz w:val="28"/>
          <w:szCs w:val="28"/>
        </w:rPr>
        <w:t>накладаються виключно Антимонопольним комітетом Украї</w:t>
      </w:r>
      <w:r w:rsidRPr="00AC4A0D" w:rsidR="0046430D">
        <w:rPr>
          <w:rFonts w:ascii="Times New Roman" w:hAnsi="Times New Roman"/>
          <w:sz w:val="28"/>
          <w:szCs w:val="28"/>
        </w:rPr>
        <w:t xml:space="preserve">ни та адміністративною колегією </w:t>
      </w:r>
      <w:r w:rsidRPr="00AC4A0D" w:rsidR="002F795F">
        <w:rPr>
          <w:rFonts w:ascii="Times New Roman" w:hAnsi="Times New Roman"/>
          <w:sz w:val="28"/>
          <w:szCs w:val="28"/>
        </w:rPr>
        <w:t xml:space="preserve">Антимонопольного комітету України на їх засіданнях. </w:t>
      </w:r>
    </w:p>
    <w:p w:rsidR="002F795F" w:rsidRPr="00AC4A0D" w:rsidP="00AC4A0D">
      <w:pPr>
        <w:bidi w:val="0"/>
        <w:ind w:firstLine="709"/>
        <w:rPr>
          <w:rFonts w:ascii="Times New Roman" w:hAnsi="Times New Roman"/>
          <w:sz w:val="28"/>
          <w:szCs w:val="28"/>
        </w:rPr>
      </w:pPr>
      <w:r w:rsidRPr="00AC4A0D">
        <w:rPr>
          <w:rFonts w:ascii="Times New Roman" w:hAnsi="Times New Roman"/>
          <w:sz w:val="28"/>
          <w:szCs w:val="28"/>
        </w:rPr>
        <w:t>Адміністративна колегія територіального відділення Антимонопольного комітету України може накладати штрафи на суб’єктів господарювання за порушення</w:t>
      </w:r>
      <w:r w:rsidRPr="00AC4A0D" w:rsidR="00405351">
        <w:rPr>
          <w:rFonts w:ascii="Times New Roman" w:hAnsi="Times New Roman"/>
          <w:sz w:val="28"/>
          <w:szCs w:val="28"/>
        </w:rPr>
        <w:t xml:space="preserve"> конкуренційного законодавства в</w:t>
      </w:r>
      <w:r w:rsidRPr="00AC4A0D">
        <w:rPr>
          <w:rFonts w:ascii="Times New Roman" w:hAnsi="Times New Roman"/>
          <w:sz w:val="28"/>
          <w:szCs w:val="28"/>
        </w:rPr>
        <w:t xml:space="preserve"> розмірі до </w:t>
      </w:r>
      <w:r w:rsidRPr="00AC4A0D" w:rsidR="006E5CA9">
        <w:rPr>
          <w:rFonts w:ascii="Times New Roman" w:hAnsi="Times New Roman"/>
          <w:sz w:val="28"/>
          <w:szCs w:val="28"/>
        </w:rPr>
        <w:t>чотирьох тисяч</w:t>
      </w:r>
      <w:r w:rsidRPr="00AC4A0D">
        <w:rPr>
          <w:rFonts w:ascii="Times New Roman" w:hAnsi="Times New Roman"/>
          <w:sz w:val="28"/>
          <w:szCs w:val="28"/>
        </w:rPr>
        <w:t xml:space="preserve"> неоподатко</w:t>
      </w:r>
      <w:r w:rsidRPr="00AC4A0D" w:rsidR="006E5CA9">
        <w:rPr>
          <w:rFonts w:ascii="Times New Roman" w:hAnsi="Times New Roman"/>
          <w:sz w:val="28"/>
          <w:szCs w:val="28"/>
        </w:rPr>
        <w:t>ву</w:t>
      </w:r>
      <w:r w:rsidRPr="00AC4A0D">
        <w:rPr>
          <w:rFonts w:ascii="Times New Roman" w:hAnsi="Times New Roman"/>
          <w:sz w:val="28"/>
          <w:szCs w:val="28"/>
        </w:rPr>
        <w:t>ваних мінімумів доходів громадян. На</w:t>
      </w:r>
      <w:r w:rsidRPr="00AC4A0D" w:rsidR="00405351">
        <w:rPr>
          <w:rFonts w:ascii="Times New Roman" w:hAnsi="Times New Roman"/>
          <w:sz w:val="28"/>
          <w:szCs w:val="28"/>
        </w:rPr>
        <w:t xml:space="preserve"> </w:t>
      </w:r>
      <w:r w:rsidRPr="00AC4A0D">
        <w:rPr>
          <w:rFonts w:ascii="Times New Roman" w:hAnsi="Times New Roman"/>
          <w:sz w:val="28"/>
          <w:szCs w:val="28"/>
        </w:rPr>
        <w:t xml:space="preserve">сьогодні </w:t>
      </w:r>
      <w:r w:rsidRPr="00AC4A0D" w:rsidR="0067119F">
        <w:rPr>
          <w:rFonts w:ascii="Times New Roman" w:hAnsi="Times New Roman"/>
          <w:sz w:val="28"/>
          <w:szCs w:val="28"/>
        </w:rPr>
        <w:t>така сума штрафу становить 68 тис.</w:t>
      </w:r>
      <w:r w:rsidRPr="00AC4A0D">
        <w:rPr>
          <w:rFonts w:ascii="Times New Roman" w:hAnsi="Times New Roman"/>
          <w:sz w:val="28"/>
          <w:szCs w:val="28"/>
        </w:rPr>
        <w:t xml:space="preserve"> грн. </w:t>
      </w:r>
    </w:p>
    <w:p w:rsidR="002F795F" w:rsidRPr="00AC4A0D" w:rsidP="00AC4A0D">
      <w:pPr>
        <w:bidi w:val="0"/>
        <w:ind w:firstLine="709"/>
        <w:rPr>
          <w:rFonts w:ascii="Times New Roman" w:hAnsi="Times New Roman"/>
          <w:sz w:val="28"/>
          <w:szCs w:val="28"/>
        </w:rPr>
      </w:pPr>
      <w:r w:rsidRPr="00AC4A0D">
        <w:rPr>
          <w:rFonts w:ascii="Times New Roman" w:hAnsi="Times New Roman"/>
          <w:sz w:val="28"/>
          <w:szCs w:val="28"/>
        </w:rPr>
        <w:t xml:space="preserve">Знецінення національної валюти призвело до того, що </w:t>
      </w:r>
      <w:r w:rsidRPr="00AC4A0D" w:rsidR="006F7EB6">
        <w:rPr>
          <w:rFonts w:ascii="Times New Roman" w:hAnsi="Times New Roman"/>
          <w:sz w:val="28"/>
          <w:szCs w:val="28"/>
        </w:rPr>
        <w:t>цей</w:t>
      </w:r>
      <w:r w:rsidRPr="00AC4A0D">
        <w:rPr>
          <w:rFonts w:ascii="Times New Roman" w:hAnsi="Times New Roman"/>
          <w:sz w:val="28"/>
          <w:szCs w:val="28"/>
        </w:rPr>
        <w:t xml:space="preserve"> поріг штрафів, які накладаються адміністративними колегіями територіальних відділень Антимонопольного комітету України</w:t>
      </w:r>
      <w:r w:rsidRPr="00AC4A0D" w:rsidR="00641FEE">
        <w:rPr>
          <w:rFonts w:ascii="Times New Roman" w:hAnsi="Times New Roman"/>
          <w:sz w:val="28"/>
          <w:szCs w:val="28"/>
        </w:rPr>
        <w:t>,</w:t>
      </w:r>
      <w:r w:rsidRPr="00AC4A0D" w:rsidR="00004B38">
        <w:rPr>
          <w:rFonts w:ascii="Times New Roman" w:hAnsi="Times New Roman"/>
          <w:sz w:val="28"/>
          <w:szCs w:val="28"/>
        </w:rPr>
        <w:t xml:space="preserve"> став настільки низьким, що не виконує функцій</w:t>
      </w:r>
      <w:r w:rsidRPr="00AC4A0D">
        <w:rPr>
          <w:rFonts w:ascii="Times New Roman" w:hAnsi="Times New Roman"/>
          <w:sz w:val="28"/>
          <w:szCs w:val="28"/>
        </w:rPr>
        <w:t xml:space="preserve"> забезпечення відповідальності суб’єктів господарювання за порушенн</w:t>
      </w:r>
      <w:r w:rsidRPr="00AC4A0D" w:rsidR="006F7EB6">
        <w:rPr>
          <w:rFonts w:ascii="Times New Roman" w:hAnsi="Times New Roman"/>
          <w:sz w:val="28"/>
          <w:szCs w:val="28"/>
        </w:rPr>
        <w:t>я конкуренційного законодавства. О</w:t>
      </w:r>
      <w:r w:rsidRPr="00AC4A0D">
        <w:rPr>
          <w:rFonts w:ascii="Times New Roman" w:hAnsi="Times New Roman"/>
          <w:sz w:val="28"/>
          <w:szCs w:val="28"/>
        </w:rPr>
        <w:t>собливо</w:t>
      </w:r>
      <w:r w:rsidRPr="00AC4A0D" w:rsidR="00DB73D5">
        <w:rPr>
          <w:rFonts w:ascii="Times New Roman" w:hAnsi="Times New Roman"/>
          <w:sz w:val="28"/>
          <w:szCs w:val="28"/>
        </w:rPr>
        <w:t>,</w:t>
      </w:r>
      <w:r w:rsidRPr="00AC4A0D" w:rsidR="006F7EB6">
        <w:rPr>
          <w:rFonts w:ascii="Times New Roman" w:hAnsi="Times New Roman"/>
          <w:sz w:val="28"/>
          <w:szCs w:val="28"/>
        </w:rPr>
        <w:t xml:space="preserve"> це стосується таких порушень, </w:t>
      </w:r>
      <w:r w:rsidRPr="00AC4A0D">
        <w:rPr>
          <w:rFonts w:ascii="Times New Roman" w:hAnsi="Times New Roman"/>
          <w:sz w:val="28"/>
          <w:szCs w:val="28"/>
        </w:rPr>
        <w:t xml:space="preserve">як зловживання монопольним становищем на ринку, антиконкурентні узгоджені дії суб’єктів господарювання. </w:t>
      </w:r>
      <w:r w:rsidRPr="00AC4A0D" w:rsidR="00AF25D8">
        <w:rPr>
          <w:rFonts w:ascii="Times New Roman" w:hAnsi="Times New Roman"/>
          <w:sz w:val="28"/>
          <w:szCs w:val="28"/>
        </w:rPr>
        <w:t xml:space="preserve">Як наслідок, </w:t>
      </w:r>
      <w:r w:rsidRPr="00AC4A0D" w:rsidR="00B16C96">
        <w:rPr>
          <w:rFonts w:ascii="Times New Roman" w:hAnsi="Times New Roman"/>
          <w:sz w:val="28"/>
          <w:szCs w:val="28"/>
        </w:rPr>
        <w:t xml:space="preserve">ефективність діяльності адміністративних колегій територіальних відділень Антимонопольного комітету України, які розглядають </w:t>
      </w:r>
      <w:r w:rsidRPr="00AC4A0D" w:rsidR="00322D17">
        <w:rPr>
          <w:rFonts w:ascii="Times New Roman" w:hAnsi="Times New Roman"/>
          <w:sz w:val="28"/>
          <w:szCs w:val="28"/>
        </w:rPr>
        <w:t xml:space="preserve">близько </w:t>
      </w:r>
      <w:r w:rsidRPr="00AC4A0D" w:rsidR="00B16C96">
        <w:rPr>
          <w:rFonts w:ascii="Times New Roman" w:hAnsi="Times New Roman"/>
          <w:sz w:val="28"/>
          <w:szCs w:val="28"/>
        </w:rPr>
        <w:t>90% усіх справ про порушення конкуренційного законодавства України</w:t>
      </w:r>
      <w:r w:rsidRPr="00AC4A0D" w:rsidR="00322D17">
        <w:rPr>
          <w:rFonts w:ascii="Times New Roman" w:hAnsi="Times New Roman"/>
          <w:sz w:val="28"/>
          <w:szCs w:val="28"/>
        </w:rPr>
        <w:t>,</w:t>
      </w:r>
      <w:r w:rsidRPr="00AC4A0D" w:rsidR="00B16C96">
        <w:rPr>
          <w:rFonts w:ascii="Times New Roman" w:hAnsi="Times New Roman"/>
          <w:sz w:val="28"/>
          <w:szCs w:val="28"/>
        </w:rPr>
        <w:t xml:space="preserve"> істотно знизилася.</w:t>
      </w:r>
    </w:p>
    <w:p w:rsidR="00B16C96" w:rsidRPr="00AC4A0D" w:rsidP="00AC4A0D">
      <w:pPr>
        <w:bidi w:val="0"/>
        <w:ind w:firstLine="709"/>
        <w:rPr>
          <w:rFonts w:ascii="Times New Roman" w:hAnsi="Times New Roman"/>
          <w:sz w:val="28"/>
          <w:szCs w:val="28"/>
        </w:rPr>
      </w:pPr>
      <w:r w:rsidRPr="00AC4A0D">
        <w:rPr>
          <w:rFonts w:ascii="Times New Roman" w:hAnsi="Times New Roman"/>
          <w:sz w:val="28"/>
          <w:szCs w:val="28"/>
        </w:rPr>
        <w:t xml:space="preserve">Законопроектом пропонується </w:t>
      </w:r>
      <w:r w:rsidRPr="00AC4A0D" w:rsidR="004F518D">
        <w:rPr>
          <w:rFonts w:ascii="Times New Roman" w:hAnsi="Times New Roman"/>
          <w:sz w:val="28"/>
          <w:szCs w:val="28"/>
        </w:rPr>
        <w:t>надати</w:t>
      </w:r>
      <w:r w:rsidRPr="00AC4A0D">
        <w:rPr>
          <w:rFonts w:ascii="Times New Roman" w:hAnsi="Times New Roman"/>
          <w:sz w:val="28"/>
          <w:szCs w:val="28"/>
        </w:rPr>
        <w:t xml:space="preserve"> </w:t>
      </w:r>
      <w:r w:rsidRPr="00AC4A0D" w:rsidR="004F518D">
        <w:rPr>
          <w:rFonts w:ascii="Times New Roman" w:hAnsi="Times New Roman"/>
          <w:sz w:val="28"/>
          <w:szCs w:val="28"/>
        </w:rPr>
        <w:t xml:space="preserve">адміністративним колегіям </w:t>
      </w:r>
      <w:r w:rsidRPr="00AC4A0D">
        <w:rPr>
          <w:rFonts w:ascii="Times New Roman" w:hAnsi="Times New Roman"/>
          <w:sz w:val="28"/>
          <w:szCs w:val="28"/>
        </w:rPr>
        <w:t>територіальних відділень Антимонопольного комітету України повноваження накладати штрафи на суб’єктів господарювання у розмірах, передбачених частиною другою статті 52 Закону.</w:t>
      </w:r>
    </w:p>
    <w:p w:rsidR="00B16C96" w:rsidRPr="00AC4A0D" w:rsidP="00AC4A0D">
      <w:pPr>
        <w:bidi w:val="0"/>
        <w:ind w:firstLine="709"/>
        <w:rPr>
          <w:rFonts w:ascii="Times New Roman" w:hAnsi="Times New Roman"/>
          <w:sz w:val="28"/>
          <w:szCs w:val="28"/>
        </w:rPr>
      </w:pPr>
      <w:r w:rsidRPr="00AC4A0D" w:rsidR="00481C19">
        <w:rPr>
          <w:rFonts w:ascii="Times New Roman" w:hAnsi="Times New Roman"/>
          <w:sz w:val="28"/>
          <w:szCs w:val="28"/>
        </w:rPr>
        <w:t>З</w:t>
      </w:r>
      <w:r w:rsidRPr="00AC4A0D">
        <w:rPr>
          <w:rFonts w:ascii="Times New Roman" w:hAnsi="Times New Roman"/>
          <w:sz w:val="28"/>
          <w:szCs w:val="28"/>
        </w:rPr>
        <w:t xml:space="preserve"> метою</w:t>
      </w:r>
      <w:r w:rsidRPr="00AC4A0D" w:rsidR="004F518D">
        <w:rPr>
          <w:rFonts w:ascii="Times New Roman" w:hAnsi="Times New Roman"/>
          <w:sz w:val="28"/>
          <w:szCs w:val="28"/>
        </w:rPr>
        <w:t xml:space="preserve"> належного</w:t>
      </w:r>
      <w:r w:rsidRPr="00AC4A0D">
        <w:rPr>
          <w:rFonts w:ascii="Times New Roman" w:hAnsi="Times New Roman"/>
          <w:sz w:val="28"/>
          <w:szCs w:val="28"/>
        </w:rPr>
        <w:t xml:space="preserve"> забезпечення дотримання адміністративною колегією територіального відділення Антимонопольного комітету України принципів верховенства права, законності, захисту конкуренції на засадах рівності осіб перед законом, законопроектом передбачено, що адміністративну колегію територіального відділення Антимонопольного комітету України у справах про порушення конкуренційного законодавства, відповідальність за які передбачає накладання на суб’єктів господарювання штрафу, очолює державний уповноважений Антимонопольного комітету України.</w:t>
      </w:r>
    </w:p>
    <w:p w:rsidR="00DD00C9" w:rsidRPr="00AC4A0D" w:rsidP="00AC4A0D">
      <w:pPr>
        <w:bidi w:val="0"/>
        <w:ind w:firstLine="709"/>
        <w:rPr>
          <w:rFonts w:ascii="Times New Roman" w:hAnsi="Times New Roman"/>
          <w:sz w:val="28"/>
          <w:szCs w:val="28"/>
        </w:rPr>
      </w:pPr>
      <w:r w:rsidRPr="00AC4A0D" w:rsidR="006C3CDE">
        <w:rPr>
          <w:rFonts w:ascii="Times New Roman" w:hAnsi="Times New Roman"/>
          <w:sz w:val="28"/>
          <w:szCs w:val="28"/>
        </w:rPr>
        <w:t>Очоле</w:t>
      </w:r>
      <w:r w:rsidRPr="00AC4A0D" w:rsidR="00B16C96">
        <w:rPr>
          <w:rFonts w:ascii="Times New Roman" w:hAnsi="Times New Roman"/>
          <w:sz w:val="28"/>
          <w:szCs w:val="28"/>
        </w:rPr>
        <w:t>ння таких адміністративних колегій державним уповноваженим Антимонопольного комітету України дозволить також забезпечити</w:t>
      </w:r>
      <w:r w:rsidRPr="00AC4A0D" w:rsidR="0033066F">
        <w:rPr>
          <w:rFonts w:ascii="Times New Roman" w:hAnsi="Times New Roman"/>
          <w:sz w:val="28"/>
          <w:szCs w:val="28"/>
        </w:rPr>
        <w:t>:</w:t>
      </w:r>
      <w:r w:rsidRPr="00AC4A0D" w:rsidR="00481C19">
        <w:rPr>
          <w:rFonts w:ascii="Times New Roman" w:hAnsi="Times New Roman"/>
          <w:sz w:val="28"/>
          <w:szCs w:val="28"/>
        </w:rPr>
        <w:t xml:space="preserve"> </w:t>
      </w:r>
      <w:r w:rsidRPr="00AC4A0D" w:rsidR="00B16C96">
        <w:rPr>
          <w:rFonts w:ascii="Times New Roman" w:hAnsi="Times New Roman"/>
          <w:sz w:val="28"/>
          <w:szCs w:val="28"/>
        </w:rPr>
        <w:t xml:space="preserve">єдність </w:t>
      </w:r>
      <w:r w:rsidRPr="00AC4A0D" w:rsidR="00AD3B2B">
        <w:rPr>
          <w:rFonts w:ascii="Times New Roman" w:hAnsi="Times New Roman"/>
          <w:sz w:val="28"/>
          <w:szCs w:val="28"/>
        </w:rPr>
        <w:t xml:space="preserve">та однаковість конкуренційного правозастосування при накладанні штрафів </w:t>
      </w:r>
      <w:r w:rsidRPr="00AC4A0D" w:rsidR="00C2208E">
        <w:rPr>
          <w:rFonts w:ascii="Times New Roman" w:hAnsi="Times New Roman"/>
          <w:sz w:val="28"/>
          <w:szCs w:val="28"/>
        </w:rPr>
        <w:t>усіма територіальними відділеннями Антимонопольного комітету</w:t>
      </w:r>
      <w:r w:rsidRPr="00AC4A0D" w:rsidR="0033066F">
        <w:rPr>
          <w:rFonts w:ascii="Times New Roman" w:hAnsi="Times New Roman"/>
          <w:sz w:val="28"/>
          <w:szCs w:val="28"/>
        </w:rPr>
        <w:t xml:space="preserve"> України;</w:t>
      </w:r>
      <w:r w:rsidRPr="00AC4A0D" w:rsidR="00481C19">
        <w:rPr>
          <w:rFonts w:ascii="Times New Roman" w:hAnsi="Times New Roman"/>
          <w:sz w:val="28"/>
          <w:szCs w:val="28"/>
        </w:rPr>
        <w:t xml:space="preserve"> </w:t>
      </w:r>
      <w:r w:rsidRPr="00AC4A0D" w:rsidR="00C2208E">
        <w:rPr>
          <w:rFonts w:ascii="Times New Roman" w:hAnsi="Times New Roman"/>
          <w:sz w:val="28"/>
          <w:szCs w:val="28"/>
        </w:rPr>
        <w:t>унеможливлення</w:t>
      </w:r>
      <w:r w:rsidRPr="00AC4A0D">
        <w:rPr>
          <w:rFonts w:ascii="Times New Roman" w:hAnsi="Times New Roman"/>
          <w:sz w:val="28"/>
          <w:szCs w:val="28"/>
        </w:rPr>
        <w:t xml:space="preserve"> існування </w:t>
      </w:r>
      <w:r w:rsidRPr="00AC4A0D" w:rsidR="00CA47AA">
        <w:rPr>
          <w:rFonts w:ascii="Times New Roman" w:hAnsi="Times New Roman"/>
          <w:sz w:val="28"/>
          <w:szCs w:val="28"/>
        </w:rPr>
        <w:t xml:space="preserve">різних антимонопольних практик </w:t>
      </w:r>
      <w:r w:rsidRPr="00AC4A0D">
        <w:rPr>
          <w:rFonts w:ascii="Times New Roman" w:hAnsi="Times New Roman"/>
          <w:sz w:val="28"/>
          <w:szCs w:val="28"/>
        </w:rPr>
        <w:t>у діяльності органів Антимонопольного комітету України;</w:t>
      </w:r>
      <w:r w:rsidRPr="00AC4A0D" w:rsidR="00481C19">
        <w:rPr>
          <w:rFonts w:ascii="Times New Roman" w:hAnsi="Times New Roman"/>
          <w:sz w:val="28"/>
          <w:szCs w:val="28"/>
        </w:rPr>
        <w:t xml:space="preserve"> </w:t>
      </w:r>
      <w:r w:rsidRPr="00AC4A0D" w:rsidR="000820CB">
        <w:rPr>
          <w:rFonts w:ascii="Times New Roman" w:hAnsi="Times New Roman"/>
          <w:sz w:val="28"/>
          <w:szCs w:val="28"/>
        </w:rPr>
        <w:t xml:space="preserve">невідворотність відповідальності порушника; </w:t>
      </w:r>
      <w:r w:rsidRPr="00AC4A0D" w:rsidR="00CA47AA">
        <w:rPr>
          <w:rFonts w:ascii="Times New Roman" w:hAnsi="Times New Roman"/>
          <w:sz w:val="28"/>
          <w:szCs w:val="28"/>
        </w:rPr>
        <w:t>істотне підвищення рівня</w:t>
      </w:r>
      <w:r w:rsidRPr="00AC4A0D">
        <w:rPr>
          <w:rFonts w:ascii="Times New Roman" w:hAnsi="Times New Roman"/>
          <w:sz w:val="28"/>
          <w:szCs w:val="28"/>
        </w:rPr>
        <w:t xml:space="preserve"> та якості правозастосування в територіальних відділеннях Антимонопольного комітету України;</w:t>
      </w:r>
      <w:r w:rsidRPr="00AC4A0D" w:rsidR="00481C19">
        <w:rPr>
          <w:rFonts w:ascii="Times New Roman" w:hAnsi="Times New Roman"/>
          <w:sz w:val="28"/>
          <w:szCs w:val="28"/>
        </w:rPr>
        <w:t xml:space="preserve"> </w:t>
      </w:r>
      <w:r w:rsidRPr="00AC4A0D">
        <w:rPr>
          <w:rFonts w:ascii="Times New Roman" w:hAnsi="Times New Roman"/>
          <w:sz w:val="28"/>
          <w:szCs w:val="28"/>
        </w:rPr>
        <w:t>ефективність штраф</w:t>
      </w:r>
      <w:r w:rsidRPr="00AC4A0D" w:rsidR="00407CE5">
        <w:rPr>
          <w:rFonts w:ascii="Times New Roman" w:hAnsi="Times New Roman"/>
          <w:sz w:val="28"/>
          <w:szCs w:val="28"/>
        </w:rPr>
        <w:t>ів</w:t>
      </w:r>
      <w:r w:rsidRPr="00AC4A0D">
        <w:rPr>
          <w:rFonts w:ascii="Times New Roman" w:hAnsi="Times New Roman"/>
          <w:sz w:val="28"/>
          <w:szCs w:val="28"/>
        </w:rPr>
        <w:t xml:space="preserve"> щодо порушників конкуренційного законодавства</w:t>
      </w:r>
      <w:r w:rsidRPr="00AC4A0D" w:rsidR="00C2528F">
        <w:rPr>
          <w:rFonts w:ascii="Times New Roman" w:hAnsi="Times New Roman"/>
          <w:sz w:val="28"/>
          <w:szCs w:val="28"/>
        </w:rPr>
        <w:t>.</w:t>
      </w:r>
    </w:p>
    <w:p w:rsidR="00D61608" w:rsidRPr="00AC4A0D" w:rsidP="00AC4A0D">
      <w:pPr>
        <w:bidi w:val="0"/>
        <w:ind w:firstLine="709"/>
        <w:rPr>
          <w:rFonts w:ascii="Times New Roman" w:hAnsi="Times New Roman"/>
          <w:b/>
          <w:i/>
          <w:sz w:val="28"/>
          <w:szCs w:val="28"/>
        </w:rPr>
      </w:pPr>
      <w:r w:rsidRPr="00AC4A0D" w:rsidR="00A41463">
        <w:rPr>
          <w:rFonts w:ascii="Times New Roman" w:hAnsi="Times New Roman"/>
          <w:b/>
          <w:i/>
          <w:sz w:val="28"/>
          <w:szCs w:val="28"/>
        </w:rPr>
        <w:t>1.</w:t>
      </w:r>
      <w:r w:rsidRPr="00AC4A0D" w:rsidR="00D37EB9">
        <w:rPr>
          <w:rFonts w:ascii="Times New Roman" w:hAnsi="Times New Roman"/>
          <w:b/>
          <w:i/>
          <w:sz w:val="28"/>
          <w:szCs w:val="28"/>
        </w:rPr>
        <w:t>8</w:t>
      </w:r>
      <w:r w:rsidRPr="00AC4A0D">
        <w:rPr>
          <w:rFonts w:ascii="Times New Roman" w:hAnsi="Times New Roman"/>
          <w:b/>
          <w:i/>
          <w:sz w:val="28"/>
          <w:szCs w:val="28"/>
        </w:rPr>
        <w:t xml:space="preserve">. </w:t>
      </w:r>
      <w:r w:rsidRPr="00AC4A0D" w:rsidR="00797DD0">
        <w:rPr>
          <w:rFonts w:ascii="Times New Roman" w:hAnsi="Times New Roman"/>
          <w:b/>
          <w:i/>
          <w:sz w:val="28"/>
          <w:szCs w:val="28"/>
        </w:rPr>
        <w:t>Надання рішенню органів</w:t>
      </w:r>
      <w:r w:rsidRPr="00AC4A0D" w:rsidR="00DB73D5">
        <w:rPr>
          <w:rFonts w:ascii="Times New Roman" w:hAnsi="Times New Roman"/>
          <w:b/>
          <w:i/>
          <w:sz w:val="28"/>
          <w:szCs w:val="28"/>
        </w:rPr>
        <w:t xml:space="preserve"> Антимонопольного</w:t>
      </w:r>
      <w:r w:rsidRPr="00AC4A0D" w:rsidR="00797DD0">
        <w:rPr>
          <w:rFonts w:ascii="Times New Roman" w:hAnsi="Times New Roman"/>
          <w:b/>
          <w:i/>
          <w:sz w:val="28"/>
          <w:szCs w:val="28"/>
        </w:rPr>
        <w:t xml:space="preserve"> комітету України</w:t>
      </w:r>
      <w:r w:rsidRPr="00AC4A0D" w:rsidR="003E5330">
        <w:rPr>
          <w:rFonts w:ascii="Times New Roman" w:hAnsi="Times New Roman"/>
          <w:b/>
          <w:i/>
          <w:sz w:val="28"/>
          <w:szCs w:val="28"/>
        </w:rPr>
        <w:t xml:space="preserve"> статусу виконавчого документу</w:t>
      </w:r>
      <w:r w:rsidRPr="00AC4A0D" w:rsidR="00797DD0">
        <w:rPr>
          <w:rFonts w:ascii="Times New Roman" w:hAnsi="Times New Roman"/>
          <w:b/>
          <w:i/>
          <w:sz w:val="28"/>
          <w:szCs w:val="28"/>
        </w:rPr>
        <w:t xml:space="preserve"> та скасування пені за несвоєчасну сплату штрафу </w:t>
      </w:r>
    </w:p>
    <w:p w:rsidR="00797DD0" w:rsidRPr="00AC4A0D" w:rsidP="00AC4A0D">
      <w:pPr>
        <w:bidi w:val="0"/>
        <w:ind w:firstLine="709"/>
        <w:rPr>
          <w:rFonts w:ascii="Times New Roman" w:hAnsi="Times New Roman"/>
          <w:sz w:val="28"/>
          <w:szCs w:val="28"/>
        </w:rPr>
      </w:pPr>
      <w:r w:rsidRPr="00AC4A0D">
        <w:rPr>
          <w:rFonts w:ascii="Times New Roman" w:hAnsi="Times New Roman"/>
          <w:sz w:val="28"/>
          <w:szCs w:val="28"/>
        </w:rPr>
        <w:t>Впродовж усіх років діяльності Антимонопольного комітету України зали</w:t>
      </w:r>
      <w:r w:rsidRPr="00AC4A0D" w:rsidR="00656390">
        <w:rPr>
          <w:rFonts w:ascii="Times New Roman" w:hAnsi="Times New Roman"/>
          <w:sz w:val="28"/>
          <w:szCs w:val="28"/>
        </w:rPr>
        <w:t>шається невирішеною проблема не</w:t>
      </w:r>
      <w:r w:rsidRPr="00AC4A0D">
        <w:rPr>
          <w:rFonts w:ascii="Times New Roman" w:hAnsi="Times New Roman"/>
          <w:sz w:val="28"/>
          <w:szCs w:val="28"/>
        </w:rPr>
        <w:t>виконання його рішень про накладання штрафів за порушення конкуренційного законодавства, а також неможливість стягнути пеню, яка нараховується за несвоєчасну сплату штрафу.</w:t>
      </w:r>
    </w:p>
    <w:p w:rsidR="003B6E91" w:rsidRPr="00AC4A0D" w:rsidP="00AC4A0D">
      <w:pPr>
        <w:bidi w:val="0"/>
        <w:ind w:firstLine="709"/>
        <w:rPr>
          <w:rFonts w:ascii="Times New Roman" w:hAnsi="Times New Roman"/>
          <w:sz w:val="28"/>
          <w:szCs w:val="28"/>
        </w:rPr>
      </w:pPr>
      <w:r w:rsidRPr="00AC4A0D" w:rsidR="00797DD0">
        <w:rPr>
          <w:rFonts w:ascii="Times New Roman" w:hAnsi="Times New Roman"/>
          <w:sz w:val="28"/>
          <w:szCs w:val="28"/>
        </w:rPr>
        <w:t xml:space="preserve">Відповідно до статті </w:t>
      </w:r>
      <w:r w:rsidRPr="00AC4A0D">
        <w:rPr>
          <w:rFonts w:ascii="Times New Roman" w:hAnsi="Times New Roman"/>
          <w:sz w:val="28"/>
          <w:szCs w:val="28"/>
        </w:rPr>
        <w:t>56 Закону України «Про захист економічної конкуренції» від</w:t>
      </w:r>
      <w:r w:rsidRPr="00AC4A0D" w:rsidR="00797DD0">
        <w:rPr>
          <w:rFonts w:ascii="Times New Roman" w:hAnsi="Times New Roman"/>
          <w:sz w:val="28"/>
          <w:szCs w:val="28"/>
        </w:rPr>
        <w:t xml:space="preserve"> 11 січня 2001 року № 2210-III</w:t>
      </w:r>
      <w:r w:rsidRPr="00AC4A0D">
        <w:rPr>
          <w:rFonts w:ascii="Times New Roman" w:hAnsi="Times New Roman"/>
          <w:sz w:val="28"/>
          <w:szCs w:val="28"/>
        </w:rPr>
        <w:t xml:space="preserve">, рішення та розпорядження органів Антимонопольного комітету України, голів його територіальних відділень є обов'язковими до виконання; особа, на яку накладено штраф за рішенням органу </w:t>
      </w:r>
      <w:r w:rsidRPr="00AC4A0D" w:rsidR="00797DD0">
        <w:rPr>
          <w:rFonts w:ascii="Times New Roman" w:hAnsi="Times New Roman"/>
          <w:sz w:val="28"/>
          <w:szCs w:val="28"/>
        </w:rPr>
        <w:t>Антимонопольного к</w:t>
      </w:r>
      <w:r w:rsidRPr="00AC4A0D">
        <w:rPr>
          <w:rFonts w:ascii="Times New Roman" w:hAnsi="Times New Roman"/>
          <w:sz w:val="28"/>
          <w:szCs w:val="28"/>
        </w:rPr>
        <w:t>омітету</w:t>
      </w:r>
      <w:r w:rsidRPr="00AC4A0D" w:rsidR="00797DD0">
        <w:rPr>
          <w:rFonts w:ascii="Times New Roman" w:hAnsi="Times New Roman"/>
          <w:sz w:val="28"/>
          <w:szCs w:val="28"/>
        </w:rPr>
        <w:t xml:space="preserve"> України</w:t>
      </w:r>
      <w:r w:rsidRPr="00AC4A0D">
        <w:rPr>
          <w:rFonts w:ascii="Times New Roman" w:hAnsi="Times New Roman"/>
          <w:sz w:val="28"/>
          <w:szCs w:val="28"/>
        </w:rPr>
        <w:t xml:space="preserve">, сплачує його у 2-місячний строк з дня одержання рішення про накладення штрафу. </w:t>
      </w:r>
      <w:r w:rsidRPr="00AC4A0D" w:rsidR="00797DD0">
        <w:rPr>
          <w:rFonts w:ascii="Times New Roman" w:hAnsi="Times New Roman"/>
          <w:sz w:val="28"/>
          <w:szCs w:val="28"/>
        </w:rPr>
        <w:t>Згідно з частиною п’ятою</w:t>
      </w:r>
      <w:r w:rsidRPr="00AC4A0D">
        <w:rPr>
          <w:rFonts w:ascii="Times New Roman" w:hAnsi="Times New Roman"/>
          <w:sz w:val="28"/>
          <w:szCs w:val="28"/>
        </w:rPr>
        <w:t xml:space="preserve"> статті 56 Закону, за кожний день прострочення сплати штрафу стягується пеня у розм</w:t>
      </w:r>
      <w:r w:rsidRPr="00AC4A0D" w:rsidR="00945BAF">
        <w:rPr>
          <w:rFonts w:ascii="Times New Roman" w:hAnsi="Times New Roman"/>
          <w:sz w:val="28"/>
          <w:szCs w:val="28"/>
        </w:rPr>
        <w:t>ірі півтора відсотк</w:t>
      </w:r>
      <w:r w:rsidRPr="00AC4A0D" w:rsidR="00945BAF">
        <w:rPr>
          <w:rFonts w:ascii="Times New Roman" w:hAnsi="Times New Roman"/>
          <w:sz w:val="28"/>
          <w:szCs w:val="28"/>
          <w:lang w:val="ru-RU"/>
        </w:rPr>
        <w:t>а</w:t>
      </w:r>
      <w:r w:rsidRPr="00AC4A0D">
        <w:rPr>
          <w:rFonts w:ascii="Times New Roman" w:hAnsi="Times New Roman"/>
          <w:sz w:val="28"/>
          <w:szCs w:val="28"/>
        </w:rPr>
        <w:t xml:space="preserve"> від суми штрафу. У разі несплати штрафу у строки, передбачені рішенням, та пені органи </w:t>
      </w:r>
      <w:r w:rsidRPr="00AC4A0D" w:rsidR="00797DD0">
        <w:rPr>
          <w:rFonts w:ascii="Times New Roman" w:hAnsi="Times New Roman"/>
          <w:sz w:val="28"/>
          <w:szCs w:val="28"/>
        </w:rPr>
        <w:t>Антимонопольного комітету України</w:t>
      </w:r>
      <w:r w:rsidRPr="00AC4A0D">
        <w:rPr>
          <w:rFonts w:ascii="Times New Roman" w:hAnsi="Times New Roman"/>
          <w:sz w:val="28"/>
          <w:szCs w:val="28"/>
        </w:rPr>
        <w:t xml:space="preserve"> стягують штраф та пеню в судовому порядку.</w:t>
      </w:r>
    </w:p>
    <w:p w:rsidR="003B6E91" w:rsidRPr="00AC4A0D" w:rsidP="00AC4A0D">
      <w:pPr>
        <w:bidi w:val="0"/>
        <w:ind w:firstLine="709"/>
        <w:rPr>
          <w:rFonts w:ascii="Times New Roman" w:hAnsi="Times New Roman"/>
          <w:sz w:val="28"/>
          <w:szCs w:val="28"/>
        </w:rPr>
      </w:pPr>
      <w:r w:rsidRPr="00AC4A0D" w:rsidR="00797DD0">
        <w:rPr>
          <w:rFonts w:ascii="Times New Roman" w:hAnsi="Times New Roman"/>
          <w:sz w:val="28"/>
          <w:szCs w:val="28"/>
        </w:rPr>
        <w:t>Відповідно до статті 60 Закону, особа, на яку</w:t>
      </w:r>
      <w:r w:rsidRPr="00AC4A0D">
        <w:rPr>
          <w:rFonts w:ascii="Times New Roman" w:hAnsi="Times New Roman"/>
          <w:sz w:val="28"/>
          <w:szCs w:val="28"/>
        </w:rPr>
        <w:t xml:space="preserve"> рішенням органів </w:t>
      </w:r>
      <w:r w:rsidRPr="00AC4A0D" w:rsidR="00797DD0">
        <w:rPr>
          <w:rFonts w:ascii="Times New Roman" w:hAnsi="Times New Roman"/>
          <w:sz w:val="28"/>
          <w:szCs w:val="28"/>
        </w:rPr>
        <w:t>Антимонопольного комітету України</w:t>
      </w:r>
      <w:r w:rsidRPr="00AC4A0D">
        <w:rPr>
          <w:rFonts w:ascii="Times New Roman" w:hAnsi="Times New Roman"/>
          <w:sz w:val="28"/>
          <w:szCs w:val="28"/>
        </w:rPr>
        <w:t xml:space="preserve"> накладено штраф та пеню, має право оскаржити таке рішення до господарського суду у 2-місячний строк з дня одержання рішення.</w:t>
      </w:r>
    </w:p>
    <w:p w:rsidR="00797DD0" w:rsidRPr="00AC4A0D" w:rsidP="00AC4A0D">
      <w:pPr>
        <w:bidi w:val="0"/>
        <w:ind w:firstLine="709"/>
        <w:rPr>
          <w:rFonts w:ascii="Times New Roman" w:hAnsi="Times New Roman"/>
          <w:sz w:val="28"/>
          <w:szCs w:val="28"/>
        </w:rPr>
      </w:pPr>
      <w:r w:rsidRPr="00AC4A0D" w:rsidR="00DB73D5">
        <w:rPr>
          <w:rFonts w:ascii="Times New Roman" w:hAnsi="Times New Roman"/>
          <w:sz w:val="28"/>
          <w:szCs w:val="28"/>
        </w:rPr>
        <w:t>Статистичні дан</w:t>
      </w:r>
      <w:r w:rsidRPr="00AC4A0D">
        <w:rPr>
          <w:rFonts w:ascii="Times New Roman" w:hAnsi="Times New Roman"/>
          <w:sz w:val="28"/>
          <w:szCs w:val="28"/>
        </w:rPr>
        <w:t xml:space="preserve">і </w:t>
      </w:r>
      <w:r w:rsidRPr="00AC4A0D" w:rsidR="002C0DE5">
        <w:rPr>
          <w:rFonts w:ascii="Times New Roman" w:hAnsi="Times New Roman"/>
          <w:sz w:val="28"/>
          <w:szCs w:val="28"/>
        </w:rPr>
        <w:t>свідчать про те, що рішення</w:t>
      </w:r>
      <w:r w:rsidRPr="00AC4A0D">
        <w:rPr>
          <w:rFonts w:ascii="Times New Roman" w:hAnsi="Times New Roman"/>
          <w:sz w:val="28"/>
          <w:szCs w:val="28"/>
        </w:rPr>
        <w:t xml:space="preserve"> Антимонопольного комітету України </w:t>
      </w:r>
      <w:r w:rsidRPr="00AC4A0D" w:rsidR="002C0DE5">
        <w:rPr>
          <w:rFonts w:ascii="Times New Roman" w:hAnsi="Times New Roman"/>
          <w:sz w:val="28"/>
          <w:szCs w:val="28"/>
        </w:rPr>
        <w:t>про накладання штрафів переважно оскаржуються до суду, і лише після завершення судових процесів надходять до органів державної виконавчої служби для примусового виконання.</w:t>
      </w:r>
    </w:p>
    <w:p w:rsidR="003B6E91" w:rsidRPr="00AC4A0D" w:rsidP="00AC4A0D">
      <w:pPr>
        <w:bidi w:val="0"/>
        <w:ind w:firstLine="709"/>
        <w:rPr>
          <w:rFonts w:ascii="Times New Roman" w:hAnsi="Times New Roman"/>
          <w:sz w:val="28"/>
          <w:szCs w:val="28"/>
        </w:rPr>
      </w:pPr>
      <w:r w:rsidRPr="00AC4A0D" w:rsidR="002C0DE5">
        <w:rPr>
          <w:rFonts w:ascii="Times New Roman" w:hAnsi="Times New Roman"/>
          <w:sz w:val="28"/>
          <w:szCs w:val="28"/>
        </w:rPr>
        <w:t>До прикладу, у</w:t>
      </w:r>
      <w:r w:rsidRPr="00AC4A0D">
        <w:rPr>
          <w:rFonts w:ascii="Times New Roman" w:hAnsi="Times New Roman"/>
          <w:sz w:val="28"/>
          <w:szCs w:val="28"/>
        </w:rPr>
        <w:t xml:space="preserve"> 2014 році з 26 виконавчих проваджень, які перебували в органах Державної виконавчої служби, на загальну суму 11 464 82</w:t>
      </w:r>
      <w:r w:rsidRPr="00AC4A0D" w:rsidR="00C866CE">
        <w:rPr>
          <w:rFonts w:ascii="Times New Roman" w:hAnsi="Times New Roman"/>
          <w:sz w:val="28"/>
          <w:szCs w:val="28"/>
        </w:rPr>
        <w:t>3,0 грн, примусово виконано</w:t>
      </w:r>
      <w:r w:rsidRPr="00AC4A0D">
        <w:rPr>
          <w:rFonts w:ascii="Times New Roman" w:hAnsi="Times New Roman"/>
          <w:sz w:val="28"/>
          <w:szCs w:val="28"/>
        </w:rPr>
        <w:t xml:space="preserve"> рішень господарських судів на</w:t>
      </w:r>
      <w:r w:rsidRPr="00AC4A0D" w:rsidR="00945BAF">
        <w:rPr>
          <w:rFonts w:ascii="Times New Roman" w:hAnsi="Times New Roman"/>
          <w:sz w:val="28"/>
          <w:szCs w:val="28"/>
        </w:rPr>
        <w:t xml:space="preserve"> суму 2 446 823,5 (приблизно 21</w:t>
      </w:r>
      <w:r w:rsidRPr="00AC4A0D">
        <w:rPr>
          <w:rFonts w:ascii="Times New Roman" w:hAnsi="Times New Roman"/>
          <w:sz w:val="28"/>
          <w:szCs w:val="28"/>
        </w:rPr>
        <w:t>%). Решту рі</w:t>
      </w:r>
      <w:r w:rsidRPr="00AC4A0D" w:rsidR="00945BAF">
        <w:rPr>
          <w:rFonts w:ascii="Times New Roman" w:hAnsi="Times New Roman"/>
          <w:sz w:val="28"/>
          <w:szCs w:val="28"/>
        </w:rPr>
        <w:t>шень (на суму 9 018 000,00 – 79</w:t>
      </w:r>
      <w:r w:rsidRPr="00AC4A0D">
        <w:rPr>
          <w:rFonts w:ascii="Times New Roman" w:hAnsi="Times New Roman"/>
          <w:sz w:val="28"/>
          <w:szCs w:val="28"/>
        </w:rPr>
        <w:t>%) виконано не було.</w:t>
      </w:r>
    </w:p>
    <w:p w:rsidR="00CD4B1D" w:rsidRPr="00AC4A0D" w:rsidP="00AC4A0D">
      <w:pPr>
        <w:bidi w:val="0"/>
        <w:ind w:firstLine="709"/>
        <w:rPr>
          <w:rFonts w:ascii="Times New Roman" w:hAnsi="Times New Roman"/>
          <w:sz w:val="28"/>
          <w:szCs w:val="28"/>
        </w:rPr>
      </w:pPr>
      <w:r w:rsidRPr="00AC4A0D" w:rsidR="002C0DE5">
        <w:rPr>
          <w:rFonts w:ascii="Times New Roman" w:hAnsi="Times New Roman"/>
          <w:sz w:val="28"/>
          <w:szCs w:val="28"/>
        </w:rPr>
        <w:t>У 2016 році</w:t>
      </w:r>
      <w:r w:rsidRPr="00AC4A0D" w:rsidR="003B6E91">
        <w:rPr>
          <w:rFonts w:ascii="Times New Roman" w:hAnsi="Times New Roman"/>
          <w:sz w:val="28"/>
          <w:szCs w:val="28"/>
        </w:rPr>
        <w:t xml:space="preserve"> прийнято 151 рішення Антимонопольн</w:t>
      </w:r>
      <w:r w:rsidRPr="00AC4A0D" w:rsidR="00945BAF">
        <w:rPr>
          <w:rFonts w:ascii="Times New Roman" w:hAnsi="Times New Roman"/>
          <w:sz w:val="28"/>
          <w:szCs w:val="28"/>
        </w:rPr>
        <w:t>ого комітету України про наклад</w:t>
      </w:r>
      <w:r w:rsidRPr="00AC4A0D" w:rsidR="00945BAF">
        <w:rPr>
          <w:rFonts w:ascii="Times New Roman" w:hAnsi="Times New Roman"/>
          <w:sz w:val="28"/>
          <w:szCs w:val="28"/>
          <w:lang w:val="ru-RU"/>
        </w:rPr>
        <w:t>а</w:t>
      </w:r>
      <w:r w:rsidRPr="00AC4A0D" w:rsidR="003B6E91">
        <w:rPr>
          <w:rFonts w:ascii="Times New Roman" w:hAnsi="Times New Roman"/>
          <w:sz w:val="28"/>
          <w:szCs w:val="28"/>
        </w:rPr>
        <w:t>ння на суб’єктів господарювання штрафів та пені на суму 86 687 129 779 грн, з якої лиш</w:t>
      </w:r>
      <w:r w:rsidRPr="00AC4A0D" w:rsidR="00945BAF">
        <w:rPr>
          <w:rFonts w:ascii="Times New Roman" w:hAnsi="Times New Roman"/>
          <w:sz w:val="28"/>
          <w:szCs w:val="28"/>
        </w:rPr>
        <w:t>е на суму 5 846 514 грн. (0,007</w:t>
      </w:r>
      <w:r w:rsidRPr="00AC4A0D" w:rsidR="003B6E91">
        <w:rPr>
          <w:rFonts w:ascii="Times New Roman" w:hAnsi="Times New Roman"/>
          <w:sz w:val="28"/>
          <w:szCs w:val="28"/>
        </w:rPr>
        <w:t>%) сплачено в добровільному порядку, решта рішень</w:t>
      </w:r>
      <w:r w:rsidRPr="00AC4A0D">
        <w:rPr>
          <w:rFonts w:ascii="Times New Roman" w:hAnsi="Times New Roman"/>
          <w:sz w:val="28"/>
          <w:szCs w:val="28"/>
        </w:rPr>
        <w:t xml:space="preserve"> Антимонопольного к</w:t>
      </w:r>
      <w:r w:rsidRPr="00AC4A0D" w:rsidR="003B6E91">
        <w:rPr>
          <w:rFonts w:ascii="Times New Roman" w:hAnsi="Times New Roman"/>
          <w:sz w:val="28"/>
          <w:szCs w:val="28"/>
        </w:rPr>
        <w:t xml:space="preserve">омітету </w:t>
      </w:r>
      <w:r w:rsidRPr="00AC4A0D">
        <w:rPr>
          <w:rFonts w:ascii="Times New Roman" w:hAnsi="Times New Roman"/>
          <w:sz w:val="28"/>
          <w:szCs w:val="28"/>
        </w:rPr>
        <w:t xml:space="preserve">України </w:t>
      </w:r>
      <w:r w:rsidRPr="00AC4A0D" w:rsidR="003B6E91">
        <w:rPr>
          <w:rFonts w:ascii="Times New Roman" w:hAnsi="Times New Roman"/>
          <w:sz w:val="28"/>
          <w:szCs w:val="28"/>
        </w:rPr>
        <w:t xml:space="preserve">оскаржуються в судах. У 2016 році у провадженні органів ДВС знаходилося 64 накази господарських судів щодо примусового стягнення з суб’єктів господарювання коштів (штрафів, пені) на загальну суму 30 192 178 грн. </w:t>
      </w:r>
    </w:p>
    <w:p w:rsidR="003B6E91" w:rsidRPr="00AC4A0D" w:rsidP="00AC4A0D">
      <w:pPr>
        <w:bidi w:val="0"/>
        <w:ind w:firstLine="709"/>
        <w:rPr>
          <w:rFonts w:ascii="Times New Roman" w:hAnsi="Times New Roman"/>
          <w:sz w:val="28"/>
          <w:szCs w:val="28"/>
        </w:rPr>
      </w:pPr>
      <w:r w:rsidRPr="00AC4A0D" w:rsidR="002C0DE5">
        <w:rPr>
          <w:rFonts w:ascii="Times New Roman" w:hAnsi="Times New Roman"/>
          <w:sz w:val="28"/>
          <w:szCs w:val="28"/>
        </w:rPr>
        <w:t>Як правило, з</w:t>
      </w:r>
      <w:r w:rsidRPr="00AC4A0D">
        <w:rPr>
          <w:rFonts w:ascii="Times New Roman" w:hAnsi="Times New Roman"/>
          <w:sz w:val="28"/>
          <w:szCs w:val="28"/>
        </w:rPr>
        <w:t xml:space="preserve"> моменту прийняття </w:t>
      </w:r>
      <w:r w:rsidRPr="00AC4A0D" w:rsidR="002C0DE5">
        <w:rPr>
          <w:rFonts w:ascii="Times New Roman" w:hAnsi="Times New Roman"/>
          <w:sz w:val="28"/>
          <w:szCs w:val="28"/>
        </w:rPr>
        <w:t>Антимонопольним комітетом України</w:t>
      </w:r>
      <w:r w:rsidRPr="00AC4A0D">
        <w:rPr>
          <w:rFonts w:ascii="Times New Roman" w:hAnsi="Times New Roman"/>
          <w:sz w:val="28"/>
          <w:szCs w:val="28"/>
        </w:rPr>
        <w:t xml:space="preserve"> рішення про наклад</w:t>
      </w:r>
      <w:r w:rsidRPr="00AC4A0D" w:rsidR="00DB73D5">
        <w:rPr>
          <w:rFonts w:ascii="Times New Roman" w:hAnsi="Times New Roman"/>
          <w:sz w:val="28"/>
          <w:szCs w:val="28"/>
        </w:rPr>
        <w:t>а</w:t>
      </w:r>
      <w:r w:rsidRPr="00AC4A0D">
        <w:rPr>
          <w:rFonts w:ascii="Times New Roman" w:hAnsi="Times New Roman"/>
          <w:sz w:val="28"/>
          <w:szCs w:val="28"/>
        </w:rPr>
        <w:t>ння ш</w:t>
      </w:r>
      <w:r w:rsidRPr="00AC4A0D" w:rsidR="00CD4B1D">
        <w:rPr>
          <w:rFonts w:ascii="Times New Roman" w:hAnsi="Times New Roman"/>
          <w:sz w:val="28"/>
          <w:szCs w:val="28"/>
        </w:rPr>
        <w:t>трафу за порушення конкуренційного</w:t>
      </w:r>
      <w:r w:rsidRPr="00AC4A0D">
        <w:rPr>
          <w:rFonts w:ascii="Times New Roman" w:hAnsi="Times New Roman"/>
          <w:sz w:val="28"/>
          <w:szCs w:val="28"/>
        </w:rPr>
        <w:t xml:space="preserve"> законодавства до моменту відкриття виконавчого провадження щодо його примусового виконання п</w:t>
      </w:r>
      <w:r w:rsidRPr="00AC4A0D" w:rsidR="00B07C3D">
        <w:rPr>
          <w:rFonts w:ascii="Times New Roman" w:hAnsi="Times New Roman"/>
          <w:sz w:val="28"/>
          <w:szCs w:val="28"/>
        </w:rPr>
        <w:t xml:space="preserve">роходить </w:t>
      </w:r>
      <w:r w:rsidRPr="00AC4A0D" w:rsidR="001E424A">
        <w:rPr>
          <w:rFonts w:ascii="Times New Roman" w:hAnsi="Times New Roman"/>
          <w:sz w:val="28"/>
          <w:szCs w:val="28"/>
        </w:rPr>
        <w:t>близько</w:t>
      </w:r>
      <w:r w:rsidRPr="00AC4A0D" w:rsidR="00B07C3D">
        <w:rPr>
          <w:rFonts w:ascii="Times New Roman" w:hAnsi="Times New Roman"/>
          <w:sz w:val="28"/>
          <w:szCs w:val="28"/>
        </w:rPr>
        <w:t xml:space="preserve"> </w:t>
      </w:r>
      <w:r w:rsidRPr="00AC4A0D" w:rsidR="001E424A">
        <w:rPr>
          <w:rFonts w:ascii="Times New Roman" w:hAnsi="Times New Roman"/>
          <w:sz w:val="28"/>
          <w:szCs w:val="28"/>
        </w:rPr>
        <w:t>двох років</w:t>
      </w:r>
      <w:r w:rsidRPr="00AC4A0D" w:rsidR="00B07C3D">
        <w:rPr>
          <w:rFonts w:ascii="Times New Roman" w:hAnsi="Times New Roman"/>
          <w:sz w:val="28"/>
          <w:szCs w:val="28"/>
        </w:rPr>
        <w:t xml:space="preserve">, </w:t>
      </w:r>
      <w:r w:rsidRPr="00AC4A0D">
        <w:rPr>
          <w:rFonts w:ascii="Times New Roman" w:hAnsi="Times New Roman"/>
          <w:sz w:val="28"/>
          <w:szCs w:val="28"/>
        </w:rPr>
        <w:t xml:space="preserve">а інколи </w:t>
      </w:r>
      <w:r w:rsidRPr="00AC4A0D" w:rsidR="005C3858">
        <w:rPr>
          <w:rFonts w:ascii="Times New Roman" w:hAnsi="Times New Roman"/>
          <w:sz w:val="28"/>
          <w:szCs w:val="28"/>
        </w:rPr>
        <w:t xml:space="preserve">і </w:t>
      </w:r>
      <w:r w:rsidRPr="00AC4A0D">
        <w:rPr>
          <w:rFonts w:ascii="Times New Roman" w:hAnsi="Times New Roman"/>
          <w:sz w:val="28"/>
          <w:szCs w:val="28"/>
        </w:rPr>
        <w:t>більше.</w:t>
      </w:r>
    </w:p>
    <w:p w:rsidR="003B6E91" w:rsidRPr="00AC4A0D" w:rsidP="00AC4A0D">
      <w:pPr>
        <w:bidi w:val="0"/>
        <w:ind w:firstLine="709"/>
        <w:rPr>
          <w:rFonts w:ascii="Times New Roman" w:hAnsi="Times New Roman"/>
          <w:sz w:val="28"/>
          <w:szCs w:val="28"/>
        </w:rPr>
      </w:pPr>
      <w:r w:rsidRPr="00AC4A0D" w:rsidR="00B07C3D">
        <w:rPr>
          <w:rFonts w:ascii="Times New Roman" w:hAnsi="Times New Roman"/>
          <w:sz w:val="28"/>
          <w:szCs w:val="28"/>
        </w:rPr>
        <w:t>Ц</w:t>
      </w:r>
      <w:r w:rsidRPr="00AC4A0D">
        <w:rPr>
          <w:rFonts w:ascii="Times New Roman" w:hAnsi="Times New Roman"/>
          <w:sz w:val="28"/>
          <w:szCs w:val="28"/>
        </w:rPr>
        <w:t>ього часу  відповідачеві</w:t>
      </w:r>
      <w:r w:rsidRPr="00AC4A0D" w:rsidR="0044286E">
        <w:rPr>
          <w:rFonts w:ascii="Times New Roman" w:hAnsi="Times New Roman"/>
          <w:sz w:val="28"/>
          <w:szCs w:val="28"/>
        </w:rPr>
        <w:t xml:space="preserve"> </w:t>
      </w:r>
      <w:r w:rsidRPr="00AC4A0D">
        <w:rPr>
          <w:rFonts w:ascii="Times New Roman" w:hAnsi="Times New Roman"/>
          <w:sz w:val="28"/>
          <w:szCs w:val="28"/>
        </w:rPr>
        <w:t>достатньо для т</w:t>
      </w:r>
      <w:r w:rsidRPr="00AC4A0D" w:rsidR="0044286E">
        <w:rPr>
          <w:rFonts w:ascii="Times New Roman" w:hAnsi="Times New Roman"/>
          <w:sz w:val="28"/>
          <w:szCs w:val="28"/>
        </w:rPr>
        <w:t>ого, щоб позбутися активів,</w:t>
      </w:r>
      <w:r w:rsidRPr="00AC4A0D">
        <w:rPr>
          <w:rFonts w:ascii="Times New Roman" w:hAnsi="Times New Roman"/>
          <w:sz w:val="28"/>
          <w:szCs w:val="28"/>
        </w:rPr>
        <w:t xml:space="preserve"> </w:t>
      </w:r>
      <w:r w:rsidRPr="00AC4A0D" w:rsidR="00C73106">
        <w:rPr>
          <w:rFonts w:ascii="Times New Roman" w:hAnsi="Times New Roman"/>
          <w:sz w:val="28"/>
          <w:szCs w:val="28"/>
        </w:rPr>
        <w:t xml:space="preserve">реорганізувати свій бізнес </w:t>
      </w:r>
      <w:r w:rsidRPr="00AC4A0D">
        <w:rPr>
          <w:rFonts w:ascii="Times New Roman" w:hAnsi="Times New Roman"/>
          <w:sz w:val="28"/>
          <w:szCs w:val="28"/>
        </w:rPr>
        <w:t xml:space="preserve">та розпочати процедуру банкрутства. </w:t>
      </w:r>
    </w:p>
    <w:p w:rsidR="003B6E91" w:rsidRPr="00AC4A0D" w:rsidP="00AC4A0D">
      <w:pPr>
        <w:bidi w:val="0"/>
        <w:ind w:firstLine="709"/>
        <w:rPr>
          <w:rFonts w:ascii="Times New Roman" w:hAnsi="Times New Roman"/>
          <w:sz w:val="28"/>
          <w:szCs w:val="28"/>
        </w:rPr>
      </w:pPr>
      <w:r w:rsidRPr="00AC4A0D">
        <w:rPr>
          <w:rFonts w:ascii="Times New Roman" w:hAnsi="Times New Roman"/>
          <w:sz w:val="28"/>
          <w:szCs w:val="28"/>
        </w:rPr>
        <w:t xml:space="preserve">Виконавче провадження про примусове виконання рішення </w:t>
      </w:r>
      <w:r w:rsidRPr="00AC4A0D" w:rsidR="00651AE7">
        <w:rPr>
          <w:rFonts w:ascii="Times New Roman" w:hAnsi="Times New Roman"/>
          <w:sz w:val="28"/>
          <w:szCs w:val="28"/>
        </w:rPr>
        <w:t>Антимонопольного комітету України</w:t>
      </w:r>
      <w:r w:rsidRPr="00AC4A0D" w:rsidR="00451365">
        <w:rPr>
          <w:rFonts w:ascii="Times New Roman" w:hAnsi="Times New Roman"/>
          <w:sz w:val="28"/>
          <w:szCs w:val="28"/>
        </w:rPr>
        <w:t xml:space="preserve"> у цьому </w:t>
      </w:r>
      <w:r w:rsidRPr="00AC4A0D">
        <w:rPr>
          <w:rFonts w:ascii="Times New Roman" w:hAnsi="Times New Roman"/>
          <w:sz w:val="28"/>
          <w:szCs w:val="28"/>
        </w:rPr>
        <w:t xml:space="preserve">випадку </w:t>
      </w:r>
      <w:r w:rsidRPr="00AC4A0D" w:rsidR="00451365">
        <w:rPr>
          <w:rFonts w:ascii="Times New Roman" w:hAnsi="Times New Roman"/>
          <w:sz w:val="28"/>
          <w:szCs w:val="28"/>
        </w:rPr>
        <w:t>є безрезультатним</w:t>
      </w:r>
      <w:r w:rsidRPr="00AC4A0D">
        <w:rPr>
          <w:rFonts w:ascii="Times New Roman" w:hAnsi="Times New Roman"/>
          <w:sz w:val="28"/>
          <w:szCs w:val="28"/>
        </w:rPr>
        <w:t xml:space="preserve">. </w:t>
      </w:r>
      <w:r w:rsidRPr="00AC4A0D" w:rsidR="00651AE7">
        <w:rPr>
          <w:rFonts w:ascii="Times New Roman" w:hAnsi="Times New Roman"/>
          <w:sz w:val="28"/>
          <w:szCs w:val="28"/>
        </w:rPr>
        <w:t>У</w:t>
      </w:r>
      <w:r w:rsidRPr="00AC4A0D">
        <w:rPr>
          <w:rFonts w:ascii="Times New Roman" w:hAnsi="Times New Roman"/>
          <w:sz w:val="28"/>
          <w:szCs w:val="28"/>
        </w:rPr>
        <w:t xml:space="preserve"> процедурах банкрутства органи Антимонопольного комітету України, </w:t>
      </w:r>
      <w:r w:rsidRPr="00AC4A0D" w:rsidR="00F20452">
        <w:rPr>
          <w:rFonts w:ascii="Times New Roman" w:hAnsi="Times New Roman"/>
          <w:sz w:val="28"/>
          <w:szCs w:val="28"/>
        </w:rPr>
        <w:t xml:space="preserve">які мають </w:t>
      </w:r>
      <w:r w:rsidRPr="00AC4A0D">
        <w:rPr>
          <w:rFonts w:ascii="Times New Roman" w:hAnsi="Times New Roman"/>
          <w:sz w:val="28"/>
          <w:szCs w:val="28"/>
        </w:rPr>
        <w:t xml:space="preserve"> найбільші за розміром грошові вимог</w:t>
      </w:r>
      <w:r w:rsidRPr="00AC4A0D" w:rsidR="00651AE7">
        <w:rPr>
          <w:rFonts w:ascii="Times New Roman" w:hAnsi="Times New Roman"/>
          <w:sz w:val="28"/>
          <w:szCs w:val="28"/>
        </w:rPr>
        <w:t xml:space="preserve">и, є кредиторами </w:t>
      </w:r>
      <w:r w:rsidRPr="00AC4A0D" w:rsidR="00945BAF">
        <w:rPr>
          <w:rFonts w:ascii="Times New Roman" w:hAnsi="Times New Roman"/>
          <w:sz w:val="28"/>
          <w:szCs w:val="28"/>
        </w:rPr>
        <w:t>в</w:t>
      </w:r>
      <w:r w:rsidRPr="00AC4A0D" w:rsidR="00F20452">
        <w:rPr>
          <w:rFonts w:ascii="Times New Roman" w:hAnsi="Times New Roman"/>
          <w:sz w:val="28"/>
          <w:szCs w:val="28"/>
        </w:rPr>
        <w:t xml:space="preserve"> останню</w:t>
      </w:r>
      <w:r w:rsidRPr="00AC4A0D" w:rsidR="00651AE7">
        <w:rPr>
          <w:rFonts w:ascii="Times New Roman" w:hAnsi="Times New Roman"/>
          <w:sz w:val="28"/>
          <w:szCs w:val="28"/>
        </w:rPr>
        <w:t xml:space="preserve"> черг</w:t>
      </w:r>
      <w:r w:rsidRPr="00AC4A0D" w:rsidR="00F20452">
        <w:rPr>
          <w:rFonts w:ascii="Times New Roman" w:hAnsi="Times New Roman"/>
          <w:sz w:val="28"/>
          <w:szCs w:val="28"/>
        </w:rPr>
        <w:t>у</w:t>
      </w:r>
      <w:r w:rsidRPr="00AC4A0D" w:rsidR="00651AE7">
        <w:rPr>
          <w:rFonts w:ascii="Times New Roman" w:hAnsi="Times New Roman"/>
          <w:sz w:val="28"/>
          <w:szCs w:val="28"/>
        </w:rPr>
        <w:t>.</w:t>
      </w:r>
      <w:r w:rsidRPr="00AC4A0D">
        <w:rPr>
          <w:rFonts w:ascii="Times New Roman" w:hAnsi="Times New Roman"/>
          <w:sz w:val="28"/>
          <w:szCs w:val="28"/>
        </w:rPr>
        <w:t xml:space="preserve"> </w:t>
      </w:r>
      <w:r w:rsidRPr="00AC4A0D" w:rsidR="00651AE7">
        <w:rPr>
          <w:rFonts w:ascii="Times New Roman" w:hAnsi="Times New Roman"/>
          <w:sz w:val="28"/>
          <w:szCs w:val="28"/>
        </w:rPr>
        <w:t>Тому</w:t>
      </w:r>
      <w:r w:rsidRPr="00AC4A0D">
        <w:rPr>
          <w:rFonts w:ascii="Times New Roman" w:hAnsi="Times New Roman"/>
          <w:sz w:val="28"/>
          <w:szCs w:val="28"/>
        </w:rPr>
        <w:t xml:space="preserve"> вимоги </w:t>
      </w:r>
      <w:r w:rsidRPr="00AC4A0D" w:rsidR="00651AE7">
        <w:rPr>
          <w:rFonts w:ascii="Times New Roman" w:hAnsi="Times New Roman"/>
          <w:sz w:val="28"/>
          <w:szCs w:val="28"/>
        </w:rPr>
        <w:t>Антимонопольного комітету України</w:t>
      </w:r>
      <w:r w:rsidRPr="00AC4A0D">
        <w:rPr>
          <w:rFonts w:ascii="Times New Roman" w:hAnsi="Times New Roman"/>
          <w:sz w:val="28"/>
          <w:szCs w:val="28"/>
        </w:rPr>
        <w:t xml:space="preserve"> залишаються незадоволеними. </w:t>
      </w:r>
    </w:p>
    <w:p w:rsidR="009E3979" w:rsidRPr="00AC4A0D" w:rsidP="00AC4A0D">
      <w:pPr>
        <w:bidi w:val="0"/>
        <w:ind w:firstLine="709"/>
        <w:rPr>
          <w:rFonts w:ascii="Times New Roman" w:hAnsi="Times New Roman"/>
          <w:sz w:val="28"/>
          <w:szCs w:val="28"/>
        </w:rPr>
      </w:pPr>
      <w:r w:rsidRPr="00AC4A0D" w:rsidR="00263CD7">
        <w:rPr>
          <w:rFonts w:ascii="Times New Roman" w:hAnsi="Times New Roman"/>
          <w:sz w:val="28"/>
          <w:szCs w:val="28"/>
        </w:rPr>
        <w:t>Як наслідок</w:t>
      </w:r>
      <w:r w:rsidRPr="00AC4A0D" w:rsidR="003B6E91">
        <w:rPr>
          <w:rFonts w:ascii="Times New Roman" w:hAnsi="Times New Roman"/>
          <w:sz w:val="28"/>
          <w:szCs w:val="28"/>
        </w:rPr>
        <w:t xml:space="preserve">, </w:t>
      </w:r>
      <w:r w:rsidRPr="00AC4A0D" w:rsidR="00246DD1">
        <w:rPr>
          <w:rFonts w:ascii="Times New Roman" w:hAnsi="Times New Roman"/>
          <w:sz w:val="28"/>
          <w:szCs w:val="28"/>
        </w:rPr>
        <w:t xml:space="preserve">частка </w:t>
      </w:r>
      <w:r w:rsidRPr="00AC4A0D" w:rsidR="003B6E91">
        <w:rPr>
          <w:rFonts w:ascii="Times New Roman" w:hAnsi="Times New Roman"/>
          <w:sz w:val="28"/>
          <w:szCs w:val="28"/>
        </w:rPr>
        <w:t>вик</w:t>
      </w:r>
      <w:r w:rsidRPr="00AC4A0D" w:rsidR="00263CD7">
        <w:rPr>
          <w:rFonts w:ascii="Times New Roman" w:hAnsi="Times New Roman"/>
          <w:sz w:val="28"/>
          <w:szCs w:val="28"/>
        </w:rPr>
        <w:t xml:space="preserve">онаних рішень </w:t>
      </w:r>
      <w:r w:rsidRPr="00AC4A0D">
        <w:rPr>
          <w:rFonts w:ascii="Times New Roman" w:hAnsi="Times New Roman"/>
          <w:sz w:val="28"/>
          <w:szCs w:val="28"/>
        </w:rPr>
        <w:t xml:space="preserve">органів Антимонопольного комітету України </w:t>
      </w:r>
      <w:r w:rsidRPr="00AC4A0D" w:rsidR="003E5330">
        <w:rPr>
          <w:rFonts w:ascii="Times New Roman" w:hAnsi="Times New Roman"/>
          <w:sz w:val="28"/>
          <w:szCs w:val="28"/>
        </w:rPr>
        <w:t xml:space="preserve">є незначною. </w:t>
      </w:r>
      <w:r w:rsidRPr="00AC4A0D" w:rsidR="003B6E91">
        <w:rPr>
          <w:rFonts w:ascii="Times New Roman" w:hAnsi="Times New Roman"/>
          <w:sz w:val="28"/>
          <w:szCs w:val="28"/>
        </w:rPr>
        <w:t xml:space="preserve"> </w:t>
      </w:r>
    </w:p>
    <w:p w:rsidR="003B6E91" w:rsidRPr="00AC4A0D" w:rsidP="00AC4A0D">
      <w:pPr>
        <w:bidi w:val="0"/>
        <w:ind w:firstLine="709"/>
        <w:rPr>
          <w:rFonts w:ascii="Times New Roman" w:hAnsi="Times New Roman"/>
          <w:sz w:val="28"/>
          <w:szCs w:val="28"/>
        </w:rPr>
      </w:pPr>
      <w:r w:rsidRPr="00AC4A0D">
        <w:rPr>
          <w:rFonts w:ascii="Times New Roman" w:hAnsi="Times New Roman"/>
          <w:sz w:val="28"/>
          <w:szCs w:val="28"/>
        </w:rPr>
        <w:t>Відповідно до статті 3 Закону України «Про виконавче провадження», підлягають примусовому виконанню рішення на підставі таких виконавчих документів, як, зокрема, «</w:t>
      </w:r>
      <w:r w:rsidRPr="00AC4A0D">
        <w:rPr>
          <w:rFonts w:ascii="Times New Roman" w:hAnsi="Times New Roman"/>
          <w:i/>
          <w:sz w:val="28"/>
          <w:szCs w:val="28"/>
        </w:rPr>
        <w:t>7) рішень інших державних органів та рішень Національного банку України, які законом визнані виконавчими документами</w:t>
      </w:r>
      <w:r w:rsidRPr="00AC4A0D">
        <w:rPr>
          <w:rFonts w:ascii="Times New Roman" w:hAnsi="Times New Roman"/>
          <w:sz w:val="28"/>
          <w:szCs w:val="28"/>
        </w:rPr>
        <w:t>».</w:t>
      </w:r>
    </w:p>
    <w:p w:rsidR="003B6E91" w:rsidRPr="00AC4A0D" w:rsidP="00AC4A0D">
      <w:pPr>
        <w:bidi w:val="0"/>
        <w:ind w:firstLine="709"/>
        <w:rPr>
          <w:rFonts w:ascii="Times New Roman" w:hAnsi="Times New Roman"/>
          <w:sz w:val="28"/>
          <w:szCs w:val="28"/>
        </w:rPr>
      </w:pPr>
      <w:r w:rsidRPr="00AC4A0D" w:rsidR="000D2941">
        <w:rPr>
          <w:rFonts w:ascii="Times New Roman" w:hAnsi="Times New Roman"/>
          <w:sz w:val="28"/>
          <w:szCs w:val="28"/>
        </w:rPr>
        <w:t>Р</w:t>
      </w:r>
      <w:r w:rsidRPr="00AC4A0D">
        <w:rPr>
          <w:rFonts w:ascii="Times New Roman" w:hAnsi="Times New Roman"/>
          <w:sz w:val="28"/>
          <w:szCs w:val="28"/>
        </w:rPr>
        <w:t xml:space="preserve">ішення органів </w:t>
      </w:r>
      <w:r w:rsidRPr="00AC4A0D" w:rsidR="000D2941">
        <w:rPr>
          <w:rFonts w:ascii="Times New Roman" w:hAnsi="Times New Roman"/>
          <w:sz w:val="28"/>
          <w:szCs w:val="28"/>
        </w:rPr>
        <w:t>Антимонопольного комітету України</w:t>
      </w:r>
      <w:r w:rsidRPr="00AC4A0D">
        <w:rPr>
          <w:rFonts w:ascii="Times New Roman" w:hAnsi="Times New Roman"/>
          <w:sz w:val="28"/>
          <w:szCs w:val="28"/>
        </w:rPr>
        <w:t xml:space="preserve"> не </w:t>
      </w:r>
      <w:r w:rsidRPr="00AC4A0D" w:rsidR="000D2941">
        <w:rPr>
          <w:rFonts w:ascii="Times New Roman" w:hAnsi="Times New Roman"/>
          <w:sz w:val="28"/>
          <w:szCs w:val="28"/>
        </w:rPr>
        <w:t xml:space="preserve">є </w:t>
      </w:r>
      <w:r w:rsidRPr="00AC4A0D">
        <w:rPr>
          <w:rFonts w:ascii="Times New Roman" w:hAnsi="Times New Roman"/>
          <w:sz w:val="28"/>
          <w:szCs w:val="28"/>
        </w:rPr>
        <w:t>виконавчими документами.</w:t>
      </w:r>
    </w:p>
    <w:p w:rsidR="000D2941" w:rsidRPr="00AC4A0D" w:rsidP="00AC4A0D">
      <w:pPr>
        <w:bidi w:val="0"/>
        <w:ind w:firstLine="709"/>
        <w:rPr>
          <w:rFonts w:ascii="Times New Roman" w:hAnsi="Times New Roman"/>
          <w:sz w:val="28"/>
          <w:szCs w:val="28"/>
        </w:rPr>
      </w:pPr>
      <w:r w:rsidRPr="00AC4A0D">
        <w:rPr>
          <w:rFonts w:ascii="Times New Roman" w:hAnsi="Times New Roman"/>
          <w:sz w:val="28"/>
          <w:szCs w:val="28"/>
        </w:rPr>
        <w:t xml:space="preserve">Однак, </w:t>
      </w:r>
      <w:r w:rsidRPr="00AC4A0D" w:rsidR="003B6E91">
        <w:rPr>
          <w:rFonts w:ascii="Times New Roman" w:hAnsi="Times New Roman"/>
          <w:sz w:val="28"/>
          <w:szCs w:val="28"/>
        </w:rPr>
        <w:t>законодавство Євр</w:t>
      </w:r>
      <w:r w:rsidRPr="00AC4A0D">
        <w:rPr>
          <w:rFonts w:ascii="Times New Roman" w:hAnsi="Times New Roman"/>
          <w:sz w:val="28"/>
          <w:szCs w:val="28"/>
        </w:rPr>
        <w:t xml:space="preserve">опейського Співтовариства </w:t>
      </w:r>
      <w:r w:rsidRPr="00AC4A0D" w:rsidR="003B6E91">
        <w:rPr>
          <w:rFonts w:ascii="Times New Roman" w:hAnsi="Times New Roman"/>
          <w:sz w:val="28"/>
          <w:szCs w:val="28"/>
        </w:rPr>
        <w:t>передбачає безпосереднє виконання рішень Є</w:t>
      </w:r>
      <w:r w:rsidRPr="00AC4A0D" w:rsidR="009E3979">
        <w:rPr>
          <w:rFonts w:ascii="Times New Roman" w:hAnsi="Times New Roman"/>
          <w:sz w:val="28"/>
          <w:szCs w:val="28"/>
        </w:rPr>
        <w:t>вропейської Комісії щодо наклада</w:t>
      </w:r>
      <w:r w:rsidRPr="00AC4A0D" w:rsidR="003B6E91">
        <w:rPr>
          <w:rFonts w:ascii="Times New Roman" w:hAnsi="Times New Roman"/>
          <w:sz w:val="28"/>
          <w:szCs w:val="28"/>
        </w:rPr>
        <w:t>ння шт</w:t>
      </w:r>
      <w:r w:rsidRPr="00AC4A0D">
        <w:rPr>
          <w:rFonts w:ascii="Times New Roman" w:hAnsi="Times New Roman"/>
          <w:sz w:val="28"/>
          <w:szCs w:val="28"/>
        </w:rPr>
        <w:t>рафів за порушення конкуренційного</w:t>
      </w:r>
      <w:r w:rsidRPr="00AC4A0D" w:rsidR="003B6E91">
        <w:rPr>
          <w:rFonts w:ascii="Times New Roman" w:hAnsi="Times New Roman"/>
          <w:sz w:val="28"/>
          <w:szCs w:val="28"/>
        </w:rPr>
        <w:t xml:space="preserve"> законодавства. </w:t>
      </w:r>
    </w:p>
    <w:p w:rsidR="00EB2837" w:rsidRPr="00AC4A0D" w:rsidP="00AC4A0D">
      <w:pPr>
        <w:bidi w:val="0"/>
        <w:ind w:firstLine="709"/>
        <w:rPr>
          <w:rFonts w:ascii="Times New Roman" w:hAnsi="Times New Roman"/>
          <w:sz w:val="28"/>
          <w:szCs w:val="28"/>
        </w:rPr>
      </w:pPr>
      <w:r w:rsidRPr="00AC4A0D">
        <w:rPr>
          <w:rFonts w:ascii="Times New Roman" w:hAnsi="Times New Roman"/>
          <w:sz w:val="28"/>
          <w:szCs w:val="28"/>
        </w:rPr>
        <w:t>Пеня стягується органами</w:t>
      </w:r>
      <w:r w:rsidRPr="00AC4A0D" w:rsidR="00C73106">
        <w:rPr>
          <w:rFonts w:ascii="Times New Roman" w:hAnsi="Times New Roman"/>
          <w:sz w:val="28"/>
          <w:szCs w:val="28"/>
        </w:rPr>
        <w:t xml:space="preserve"> </w:t>
      </w:r>
      <w:r w:rsidRPr="00AC4A0D">
        <w:rPr>
          <w:rFonts w:ascii="Times New Roman" w:hAnsi="Times New Roman"/>
          <w:sz w:val="28"/>
          <w:szCs w:val="28"/>
        </w:rPr>
        <w:t>Антимонопольн</w:t>
      </w:r>
      <w:r w:rsidRPr="00AC4A0D" w:rsidR="009E3979">
        <w:rPr>
          <w:rFonts w:ascii="Times New Roman" w:hAnsi="Times New Roman"/>
          <w:sz w:val="28"/>
          <w:szCs w:val="28"/>
        </w:rPr>
        <w:t>ого</w:t>
      </w:r>
      <w:r w:rsidRPr="00AC4A0D">
        <w:rPr>
          <w:rFonts w:ascii="Times New Roman" w:hAnsi="Times New Roman"/>
          <w:sz w:val="28"/>
          <w:szCs w:val="28"/>
        </w:rPr>
        <w:t xml:space="preserve"> комітет</w:t>
      </w:r>
      <w:r w:rsidRPr="00AC4A0D" w:rsidR="009E3979">
        <w:rPr>
          <w:rFonts w:ascii="Times New Roman" w:hAnsi="Times New Roman"/>
          <w:sz w:val="28"/>
          <w:szCs w:val="28"/>
        </w:rPr>
        <w:t>у</w:t>
      </w:r>
      <w:r w:rsidRPr="00AC4A0D">
        <w:rPr>
          <w:rFonts w:ascii="Times New Roman" w:hAnsi="Times New Roman"/>
          <w:sz w:val="28"/>
          <w:szCs w:val="28"/>
        </w:rPr>
        <w:t xml:space="preserve"> України</w:t>
      </w:r>
      <w:r w:rsidRPr="00AC4A0D" w:rsidR="00C73106">
        <w:rPr>
          <w:rFonts w:ascii="Times New Roman" w:hAnsi="Times New Roman"/>
          <w:sz w:val="28"/>
          <w:szCs w:val="28"/>
        </w:rPr>
        <w:t xml:space="preserve"> в судовому порядку</w:t>
      </w:r>
      <w:r w:rsidRPr="00AC4A0D">
        <w:rPr>
          <w:rFonts w:ascii="Times New Roman" w:hAnsi="Times New Roman"/>
          <w:sz w:val="28"/>
          <w:szCs w:val="28"/>
        </w:rPr>
        <w:t>.</w:t>
      </w:r>
    </w:p>
    <w:p w:rsidR="003B6E91" w:rsidRPr="00AC4A0D" w:rsidP="00AC4A0D">
      <w:pPr>
        <w:bidi w:val="0"/>
        <w:ind w:firstLine="709"/>
        <w:rPr>
          <w:rFonts w:ascii="Times New Roman" w:hAnsi="Times New Roman"/>
          <w:sz w:val="28"/>
          <w:szCs w:val="28"/>
        </w:rPr>
      </w:pPr>
      <w:r w:rsidRPr="00AC4A0D" w:rsidR="009E3979">
        <w:rPr>
          <w:rFonts w:ascii="Times New Roman" w:hAnsi="Times New Roman"/>
          <w:sz w:val="28"/>
          <w:szCs w:val="28"/>
        </w:rPr>
        <w:t>Водночас</w:t>
      </w:r>
      <w:r w:rsidRPr="00AC4A0D" w:rsidR="00EB2837">
        <w:rPr>
          <w:rFonts w:ascii="Times New Roman" w:hAnsi="Times New Roman"/>
          <w:sz w:val="28"/>
          <w:szCs w:val="28"/>
        </w:rPr>
        <w:t xml:space="preserve"> законодавство інших європейських країн не містить аналогічних норм, які передбачають нарахування пені на штрафи</w:t>
      </w:r>
      <w:r w:rsidRPr="00AC4A0D" w:rsidR="00DB73D5">
        <w:rPr>
          <w:rFonts w:ascii="Times New Roman" w:hAnsi="Times New Roman"/>
          <w:sz w:val="28"/>
          <w:szCs w:val="28"/>
        </w:rPr>
        <w:t>, н</w:t>
      </w:r>
      <w:r w:rsidRPr="00AC4A0D" w:rsidR="00EB2837">
        <w:rPr>
          <w:rFonts w:ascii="Times New Roman" w:hAnsi="Times New Roman"/>
          <w:sz w:val="28"/>
          <w:szCs w:val="28"/>
        </w:rPr>
        <w:t>акладені конкуренційними відомствами.</w:t>
      </w:r>
    </w:p>
    <w:p w:rsidR="009E3979" w:rsidRPr="00AC4A0D" w:rsidP="00AC4A0D">
      <w:pPr>
        <w:bidi w:val="0"/>
        <w:ind w:firstLine="709"/>
        <w:rPr>
          <w:rFonts w:ascii="Times New Roman" w:hAnsi="Times New Roman"/>
          <w:sz w:val="28"/>
          <w:szCs w:val="28"/>
        </w:rPr>
      </w:pPr>
      <w:r w:rsidRPr="00AC4A0D" w:rsidR="00EB2837">
        <w:rPr>
          <w:rFonts w:ascii="Times New Roman" w:hAnsi="Times New Roman"/>
          <w:sz w:val="28"/>
          <w:szCs w:val="28"/>
        </w:rPr>
        <w:t xml:space="preserve">У більшості випадків </w:t>
      </w:r>
      <w:r w:rsidRPr="00AC4A0D" w:rsidR="003B6E91">
        <w:rPr>
          <w:rFonts w:ascii="Times New Roman" w:hAnsi="Times New Roman"/>
          <w:sz w:val="28"/>
          <w:szCs w:val="28"/>
        </w:rPr>
        <w:t xml:space="preserve">пеня не стимулює </w:t>
      </w:r>
      <w:r w:rsidRPr="00AC4A0D" w:rsidR="00EB2837">
        <w:rPr>
          <w:rFonts w:ascii="Times New Roman" w:hAnsi="Times New Roman"/>
          <w:sz w:val="28"/>
          <w:szCs w:val="28"/>
        </w:rPr>
        <w:t>суб’єктів господарювання</w:t>
      </w:r>
      <w:r w:rsidRPr="00AC4A0D" w:rsidR="003B6E91">
        <w:rPr>
          <w:rFonts w:ascii="Times New Roman" w:hAnsi="Times New Roman"/>
          <w:sz w:val="28"/>
          <w:szCs w:val="28"/>
        </w:rPr>
        <w:t xml:space="preserve"> до спл</w:t>
      </w:r>
      <w:r w:rsidRPr="00AC4A0D" w:rsidR="00712DF0">
        <w:rPr>
          <w:rFonts w:ascii="Times New Roman" w:hAnsi="Times New Roman"/>
          <w:sz w:val="28"/>
          <w:szCs w:val="28"/>
        </w:rPr>
        <w:t>ати накладеного штрафу.</w:t>
      </w:r>
      <w:r w:rsidRPr="00AC4A0D" w:rsidR="003B6E91">
        <w:rPr>
          <w:rFonts w:ascii="Times New Roman" w:hAnsi="Times New Roman"/>
          <w:sz w:val="28"/>
          <w:szCs w:val="28"/>
        </w:rPr>
        <w:t xml:space="preserve"> </w:t>
      </w:r>
    </w:p>
    <w:p w:rsidR="00343C3A" w:rsidRPr="00AC4A0D" w:rsidP="00AC4A0D">
      <w:pPr>
        <w:bidi w:val="0"/>
        <w:ind w:firstLine="709"/>
        <w:rPr>
          <w:rFonts w:ascii="Times New Roman" w:hAnsi="Times New Roman"/>
          <w:sz w:val="28"/>
          <w:szCs w:val="28"/>
        </w:rPr>
      </w:pPr>
      <w:r w:rsidRPr="00AC4A0D" w:rsidR="002F5C82">
        <w:rPr>
          <w:rFonts w:ascii="Times New Roman" w:hAnsi="Times New Roman"/>
          <w:sz w:val="28"/>
          <w:szCs w:val="28"/>
        </w:rPr>
        <w:t>П</w:t>
      </w:r>
      <w:r w:rsidRPr="00AC4A0D">
        <w:rPr>
          <w:rFonts w:ascii="Times New Roman" w:hAnsi="Times New Roman"/>
          <w:sz w:val="28"/>
          <w:szCs w:val="28"/>
        </w:rPr>
        <w:t>ропонується встановити, що наказ органу Антимонопольного комітету України про примусове стягнення штрафу є виконавчим документом, який передається до органів державної виконавчої служби для примусового виконання. А норми, які передбачають нарахування пені</w:t>
      </w:r>
      <w:r w:rsidRPr="00AC4A0D" w:rsidR="00945BAF">
        <w:rPr>
          <w:rFonts w:ascii="Times New Roman" w:hAnsi="Times New Roman"/>
          <w:sz w:val="28"/>
          <w:szCs w:val="28"/>
        </w:rPr>
        <w:t>,</w:t>
      </w:r>
      <w:r w:rsidRPr="00AC4A0D">
        <w:rPr>
          <w:rFonts w:ascii="Times New Roman" w:hAnsi="Times New Roman"/>
          <w:sz w:val="28"/>
          <w:szCs w:val="28"/>
        </w:rPr>
        <w:t xml:space="preserve"> підлягають виключенню із Закону.</w:t>
      </w:r>
    </w:p>
    <w:p w:rsidR="005912FD" w:rsidRPr="00AC4A0D" w:rsidP="00AC4A0D">
      <w:pPr>
        <w:bidi w:val="0"/>
        <w:ind w:firstLine="709"/>
        <w:rPr>
          <w:rFonts w:ascii="Times New Roman" w:hAnsi="Times New Roman"/>
          <w:sz w:val="28"/>
          <w:szCs w:val="28"/>
        </w:rPr>
      </w:pPr>
      <w:r w:rsidRPr="00AC4A0D" w:rsidR="00343C3A">
        <w:rPr>
          <w:rFonts w:ascii="Times New Roman" w:hAnsi="Times New Roman"/>
          <w:sz w:val="28"/>
          <w:szCs w:val="28"/>
        </w:rPr>
        <w:t>Такі зміни до законодавства дозволять забезпечити виконання рекомендацій Організації Економічного Співробітництва та Розвитку (</w:t>
      </w:r>
      <w:r w:rsidRPr="00AC4A0D" w:rsidR="00F35240">
        <w:rPr>
          <w:rFonts w:ascii="Times New Roman" w:hAnsi="Times New Roman"/>
          <w:sz w:val="28"/>
          <w:szCs w:val="28"/>
        </w:rPr>
        <w:t>О</w:t>
      </w:r>
      <w:r w:rsidRPr="00AC4A0D" w:rsidR="00343C3A">
        <w:rPr>
          <w:rFonts w:ascii="Times New Roman" w:hAnsi="Times New Roman"/>
          <w:sz w:val="28"/>
          <w:szCs w:val="28"/>
        </w:rPr>
        <w:t>Е</w:t>
      </w:r>
      <w:r w:rsidRPr="00AC4A0D" w:rsidR="00F35240">
        <w:rPr>
          <w:rFonts w:ascii="Times New Roman" w:hAnsi="Times New Roman"/>
          <w:sz w:val="28"/>
          <w:szCs w:val="28"/>
        </w:rPr>
        <w:t>С</w:t>
      </w:r>
      <w:r w:rsidRPr="00AC4A0D" w:rsidR="00343C3A">
        <w:rPr>
          <w:rFonts w:ascii="Times New Roman" w:hAnsi="Times New Roman"/>
          <w:sz w:val="28"/>
          <w:szCs w:val="28"/>
        </w:rPr>
        <w:t xml:space="preserve">Р), </w:t>
      </w:r>
      <w:r w:rsidRPr="00AC4A0D" w:rsidR="002F5C82">
        <w:rPr>
          <w:rFonts w:ascii="Times New Roman" w:hAnsi="Times New Roman"/>
          <w:sz w:val="28"/>
          <w:szCs w:val="28"/>
        </w:rPr>
        <w:t xml:space="preserve">яка </w:t>
      </w:r>
      <w:r w:rsidRPr="00AC4A0D" w:rsidR="00343C3A">
        <w:rPr>
          <w:rFonts w:ascii="Times New Roman" w:hAnsi="Times New Roman"/>
          <w:sz w:val="28"/>
          <w:szCs w:val="28"/>
        </w:rPr>
        <w:t>у 2008</w:t>
      </w:r>
      <w:r w:rsidRPr="00AC4A0D" w:rsidR="002F5C82">
        <w:rPr>
          <w:rFonts w:ascii="Times New Roman" w:hAnsi="Times New Roman"/>
          <w:sz w:val="28"/>
          <w:szCs w:val="28"/>
        </w:rPr>
        <w:t xml:space="preserve"> та 2016 роках зазнача</w:t>
      </w:r>
      <w:r w:rsidRPr="00AC4A0D" w:rsidR="003E5330">
        <w:rPr>
          <w:rFonts w:ascii="Times New Roman" w:hAnsi="Times New Roman"/>
          <w:sz w:val="28"/>
          <w:szCs w:val="28"/>
        </w:rPr>
        <w:t>ла у своїх звітах</w:t>
      </w:r>
      <w:r w:rsidRPr="00AC4A0D" w:rsidR="00343C3A">
        <w:rPr>
          <w:rFonts w:ascii="Times New Roman" w:hAnsi="Times New Roman"/>
          <w:sz w:val="28"/>
          <w:szCs w:val="28"/>
        </w:rPr>
        <w:t xml:space="preserve">, що </w:t>
      </w:r>
      <w:r w:rsidRPr="00AC4A0D" w:rsidR="002F5C82">
        <w:rPr>
          <w:rFonts w:ascii="Times New Roman" w:hAnsi="Times New Roman"/>
          <w:sz w:val="28"/>
          <w:szCs w:val="28"/>
        </w:rPr>
        <w:t xml:space="preserve">процес </w:t>
      </w:r>
      <w:r w:rsidRPr="00AC4A0D" w:rsidR="00343C3A">
        <w:rPr>
          <w:rFonts w:ascii="Times New Roman" w:hAnsi="Times New Roman"/>
          <w:sz w:val="28"/>
          <w:szCs w:val="28"/>
        </w:rPr>
        <w:t>стягнення штрафів, які накладає Антимонопольний комітет України, а також процед</w:t>
      </w:r>
      <w:r w:rsidRPr="00AC4A0D" w:rsidR="002F5C82">
        <w:rPr>
          <w:rFonts w:ascii="Times New Roman" w:hAnsi="Times New Roman"/>
          <w:sz w:val="28"/>
          <w:szCs w:val="28"/>
        </w:rPr>
        <w:t xml:space="preserve">ури виконавчого </w:t>
      </w:r>
      <w:r w:rsidRPr="00AC4A0D" w:rsidR="00F35240">
        <w:rPr>
          <w:rFonts w:ascii="Times New Roman" w:hAnsi="Times New Roman"/>
          <w:sz w:val="28"/>
          <w:szCs w:val="28"/>
        </w:rPr>
        <w:t>провадження в к</w:t>
      </w:r>
      <w:r w:rsidRPr="00AC4A0D" w:rsidR="00343C3A">
        <w:rPr>
          <w:rFonts w:ascii="Times New Roman" w:hAnsi="Times New Roman"/>
          <w:sz w:val="28"/>
          <w:szCs w:val="28"/>
        </w:rPr>
        <w:t>раїні є неефективними. ОЕСР рекомендувало Україні скасувати вимоги про обов’язкове звернення до суду щодо стягнення штрафів.</w:t>
      </w:r>
    </w:p>
    <w:p w:rsidR="00EB1EE2" w:rsidRPr="00AC4A0D" w:rsidP="00AC4A0D">
      <w:pPr>
        <w:bidi w:val="0"/>
        <w:ind w:firstLine="709"/>
        <w:rPr>
          <w:rFonts w:ascii="Times New Roman" w:hAnsi="Times New Roman"/>
          <w:bCs/>
          <w:i/>
          <w:sz w:val="28"/>
          <w:szCs w:val="28"/>
        </w:rPr>
      </w:pPr>
      <w:r w:rsidRPr="00AC4A0D">
        <w:rPr>
          <w:rFonts w:ascii="Times New Roman" w:hAnsi="Times New Roman"/>
          <w:b/>
          <w:i/>
          <w:sz w:val="28"/>
          <w:szCs w:val="28"/>
        </w:rPr>
        <w:t>1.</w:t>
      </w:r>
      <w:r w:rsidRPr="00AC4A0D">
        <w:rPr>
          <w:rFonts w:ascii="Times New Roman" w:hAnsi="Times New Roman"/>
          <w:b/>
          <w:i/>
          <w:sz w:val="28"/>
          <w:szCs w:val="28"/>
        </w:rPr>
        <w:t>9</w:t>
      </w:r>
      <w:r w:rsidRPr="00AC4A0D">
        <w:rPr>
          <w:rFonts w:ascii="Times New Roman" w:hAnsi="Times New Roman"/>
          <w:b/>
          <w:i/>
          <w:sz w:val="28"/>
          <w:szCs w:val="28"/>
        </w:rPr>
        <w:t>.</w:t>
      </w:r>
      <w:r w:rsidRPr="00AC4A0D">
        <w:rPr>
          <w:rFonts w:ascii="Times New Roman" w:hAnsi="Times New Roman"/>
          <w:b/>
          <w:i/>
          <w:sz w:val="28"/>
          <w:szCs w:val="28"/>
        </w:rPr>
        <w:t xml:space="preserve"> Запровадження солідарної відповідальності учасників групи компаній – єдиного суб’єкта господарювання</w:t>
      </w:r>
      <w:r w:rsidRPr="00AC4A0D">
        <w:rPr>
          <w:rFonts w:ascii="Times New Roman" w:hAnsi="Times New Roman"/>
          <w:bCs/>
          <w:i/>
          <w:sz w:val="28"/>
          <w:szCs w:val="28"/>
        </w:rPr>
        <w:t xml:space="preserve">. </w:t>
      </w:r>
    </w:p>
    <w:p w:rsidR="00EB1EE2" w:rsidRPr="00AC4A0D" w:rsidP="00AC4A0D">
      <w:pPr>
        <w:bidi w:val="0"/>
        <w:ind w:firstLine="709"/>
        <w:rPr>
          <w:rFonts w:ascii="Times New Roman" w:hAnsi="Times New Roman"/>
          <w:bCs/>
          <w:sz w:val="28"/>
          <w:szCs w:val="28"/>
        </w:rPr>
      </w:pPr>
      <w:r w:rsidRPr="00AC4A0D">
        <w:rPr>
          <w:rFonts w:ascii="Times New Roman" w:hAnsi="Times New Roman"/>
          <w:bCs/>
          <w:sz w:val="28"/>
          <w:szCs w:val="28"/>
        </w:rPr>
        <w:t>Серед найбільш резонансних справ, які розслідує</w:t>
      </w:r>
      <w:r w:rsidRPr="00AC4A0D">
        <w:rPr>
          <w:rFonts w:ascii="Times New Roman" w:hAnsi="Times New Roman"/>
          <w:bCs/>
          <w:sz w:val="28"/>
          <w:szCs w:val="28"/>
        </w:rPr>
        <w:t xml:space="preserve"> </w:t>
      </w:r>
      <w:r w:rsidRPr="00AC4A0D">
        <w:rPr>
          <w:rFonts w:ascii="Times New Roman" w:hAnsi="Times New Roman"/>
          <w:bCs/>
          <w:sz w:val="28"/>
          <w:szCs w:val="28"/>
        </w:rPr>
        <w:t>і за якими приймає рішення про накладення штрафів Комітет</w:t>
      </w:r>
      <w:r w:rsidRPr="00AC4A0D">
        <w:rPr>
          <w:rFonts w:ascii="Times New Roman" w:hAnsi="Times New Roman"/>
          <w:bCs/>
          <w:sz w:val="28"/>
          <w:szCs w:val="28"/>
        </w:rPr>
        <w:t>,</w:t>
      </w:r>
      <w:r w:rsidRPr="00AC4A0D">
        <w:rPr>
          <w:rFonts w:ascii="Times New Roman" w:hAnsi="Times New Roman"/>
          <w:bCs/>
          <w:sz w:val="28"/>
          <w:szCs w:val="28"/>
        </w:rPr>
        <w:t xml:space="preserve"> є порушення</w:t>
      </w:r>
      <w:r w:rsidRPr="00AC4A0D">
        <w:rPr>
          <w:rFonts w:ascii="Times New Roman" w:hAnsi="Times New Roman"/>
          <w:bCs/>
          <w:sz w:val="28"/>
          <w:szCs w:val="28"/>
        </w:rPr>
        <w:t>,</w:t>
      </w:r>
      <w:r w:rsidRPr="00AC4A0D">
        <w:rPr>
          <w:rFonts w:ascii="Times New Roman" w:hAnsi="Times New Roman"/>
          <w:bCs/>
          <w:sz w:val="28"/>
          <w:szCs w:val="28"/>
        </w:rPr>
        <w:t xml:space="preserve"> вчинені групою суб’єктів господарювання. Водночас, Закон України «Про захист економічної конкуренції» (далі – Закон) у чинній редакції</w:t>
      </w:r>
      <w:r w:rsidRPr="00AC4A0D">
        <w:rPr>
          <w:rFonts w:ascii="Times New Roman" w:hAnsi="Times New Roman"/>
          <w:bCs/>
          <w:sz w:val="28"/>
          <w:szCs w:val="28"/>
        </w:rPr>
        <w:t>,</w:t>
      </w:r>
      <w:r w:rsidRPr="00AC4A0D">
        <w:rPr>
          <w:rFonts w:ascii="Times New Roman" w:hAnsi="Times New Roman"/>
          <w:bCs/>
          <w:sz w:val="28"/>
          <w:szCs w:val="28"/>
        </w:rPr>
        <w:t xml:space="preserve"> дозволяючи</w:t>
      </w:r>
      <w:r w:rsidRPr="00AC4A0D">
        <w:rPr>
          <w:rFonts w:ascii="Times New Roman" w:hAnsi="Times New Roman"/>
          <w:bCs/>
          <w:sz w:val="28"/>
          <w:szCs w:val="28"/>
        </w:rPr>
        <w:t xml:space="preserve"> </w:t>
      </w:r>
      <w:r w:rsidRPr="00AC4A0D">
        <w:rPr>
          <w:rFonts w:ascii="Times New Roman" w:hAnsi="Times New Roman"/>
          <w:bCs/>
          <w:sz w:val="28"/>
          <w:szCs w:val="28"/>
        </w:rPr>
        <w:t>притягувати до відповідальності групу суб’єктів господарювання (суб’єктів господарювання, пов’язаних відносинами контролю, які утворюють єдиний суб’єкт господарювання)</w:t>
      </w:r>
      <w:r w:rsidRPr="00AC4A0D">
        <w:rPr>
          <w:rFonts w:ascii="Times New Roman" w:hAnsi="Times New Roman"/>
          <w:bCs/>
          <w:sz w:val="28"/>
          <w:szCs w:val="28"/>
        </w:rPr>
        <w:t xml:space="preserve">, </w:t>
      </w:r>
      <w:r w:rsidRPr="00AC4A0D">
        <w:rPr>
          <w:rFonts w:ascii="Times New Roman" w:hAnsi="Times New Roman"/>
          <w:bCs/>
          <w:sz w:val="28"/>
          <w:szCs w:val="28"/>
        </w:rPr>
        <w:t>але при цьому, штрафи мають накладатися на кожного учасника групи окремо (тобто, відповідальність має частковий характер), що, ураховуючи скоординованість антиконкурентних дій таких суб’єктів з єдиного центру, робить індивідуальне обчислення таких штрафів проблематичним</w:t>
      </w:r>
      <w:r w:rsidRPr="00AC4A0D">
        <w:rPr>
          <w:rFonts w:ascii="Times New Roman" w:hAnsi="Times New Roman"/>
          <w:bCs/>
          <w:sz w:val="28"/>
          <w:szCs w:val="28"/>
        </w:rPr>
        <w:t xml:space="preserve">.   </w:t>
      </w:r>
    </w:p>
    <w:p w:rsidR="00EB1EE2" w:rsidRPr="00AC4A0D" w:rsidP="00AC4A0D">
      <w:pPr>
        <w:bidi w:val="0"/>
        <w:ind w:firstLine="709"/>
        <w:rPr>
          <w:rFonts w:ascii="Times New Roman" w:hAnsi="Times New Roman"/>
          <w:bCs/>
          <w:sz w:val="28"/>
          <w:szCs w:val="28"/>
        </w:rPr>
      </w:pPr>
      <w:r w:rsidRPr="00AC4A0D">
        <w:rPr>
          <w:rFonts w:ascii="Times New Roman" w:hAnsi="Times New Roman"/>
          <w:bCs/>
          <w:sz w:val="28"/>
          <w:szCs w:val="28"/>
        </w:rPr>
        <w:t>Крім того, під час оскарження рішень Комітету в судах судді відмовляються об’єднувати справи щодо порушень, вчинених групою суб’єктів господарювання, в одне провадження та розглядають накладання штрафів по кожному учаснику</w:t>
      </w:r>
      <w:r w:rsidRPr="00AC4A0D">
        <w:rPr>
          <w:rFonts w:ascii="Times New Roman" w:hAnsi="Times New Roman"/>
          <w:bCs/>
          <w:sz w:val="28"/>
          <w:szCs w:val="28"/>
        </w:rPr>
        <w:t xml:space="preserve"> </w:t>
      </w:r>
      <w:r w:rsidRPr="00AC4A0D">
        <w:rPr>
          <w:rFonts w:ascii="Times New Roman" w:hAnsi="Times New Roman"/>
          <w:bCs/>
          <w:sz w:val="28"/>
          <w:szCs w:val="28"/>
        </w:rPr>
        <w:t>узгоджених дій (незважаючи на їх належність до групи компаній – єдиного суб’єкта господарювання) в окремих судових провадженнях</w:t>
      </w:r>
      <w:r w:rsidRPr="00AC4A0D">
        <w:rPr>
          <w:rFonts w:ascii="Times New Roman" w:hAnsi="Times New Roman"/>
          <w:bCs/>
          <w:sz w:val="28"/>
          <w:szCs w:val="28"/>
        </w:rPr>
        <w:t xml:space="preserve">. </w:t>
      </w:r>
      <w:r w:rsidRPr="00AC4A0D">
        <w:rPr>
          <w:rFonts w:ascii="Times New Roman" w:hAnsi="Times New Roman"/>
          <w:bCs/>
          <w:sz w:val="28"/>
          <w:szCs w:val="28"/>
        </w:rPr>
        <w:t>Як наслідок, враховуючи різний склад суду по кожному провадженню, трапляються випадки скасування рішення Комітету в частині одних суб’єктів господарювання та залишення його в силі по відношенню до інших суб’єктів господарювання, незважаючи на те, що порушення законодавства про захист економічної конкуренції було єдиним, за участю всіх зазначених суб’єктів. Таке практика призводить до неефективності судового розгляду, нераціонального використання ресурсів Комітету та до суперечливого правозастосування: в окремих випадках рішення Комітету про притягнення до відповідальності за антиконкурентні узгоджені дії може визнаватися недійсним щодо всіх учасників таких дій, крім одного, що створює абсурдну ситуацію «одноосібної змови»</w:t>
      </w:r>
      <w:r w:rsidRPr="00AC4A0D">
        <w:rPr>
          <w:rFonts w:ascii="Times New Roman" w:hAnsi="Times New Roman"/>
          <w:bCs/>
          <w:sz w:val="28"/>
          <w:szCs w:val="28"/>
        </w:rPr>
        <w:t xml:space="preserve">. </w:t>
      </w:r>
    </w:p>
    <w:p w:rsidR="00EB1EE2" w:rsidRPr="00AC4A0D" w:rsidP="00AC4A0D">
      <w:pPr>
        <w:bidi w:val="0"/>
        <w:ind w:firstLine="709"/>
        <w:rPr>
          <w:rFonts w:ascii="Times New Roman" w:hAnsi="Times New Roman"/>
          <w:bCs/>
          <w:sz w:val="28"/>
          <w:szCs w:val="28"/>
        </w:rPr>
      </w:pPr>
      <w:r w:rsidRPr="00AC4A0D">
        <w:rPr>
          <w:rFonts w:ascii="Times New Roman" w:hAnsi="Times New Roman"/>
          <w:bCs/>
          <w:sz w:val="28"/>
          <w:szCs w:val="28"/>
        </w:rPr>
        <w:t>Законопроектом передбачається встановлення</w:t>
      </w:r>
      <w:r w:rsidRPr="00AC4A0D">
        <w:rPr>
          <w:rFonts w:ascii="Times New Roman" w:hAnsi="Times New Roman"/>
          <w:bCs/>
          <w:sz w:val="28"/>
          <w:szCs w:val="28"/>
        </w:rPr>
        <w:t xml:space="preserve"> </w:t>
      </w:r>
      <w:r w:rsidRPr="00AC4A0D">
        <w:rPr>
          <w:rFonts w:ascii="Times New Roman" w:hAnsi="Times New Roman"/>
          <w:bCs/>
          <w:i/>
          <w:sz w:val="28"/>
          <w:szCs w:val="28"/>
        </w:rPr>
        <w:t>солідарної</w:t>
      </w:r>
      <w:r w:rsidRPr="00AC4A0D">
        <w:rPr>
          <w:rFonts w:ascii="Times New Roman" w:hAnsi="Times New Roman"/>
          <w:bCs/>
          <w:sz w:val="28"/>
          <w:szCs w:val="28"/>
        </w:rPr>
        <w:t xml:space="preserve"> </w:t>
      </w:r>
      <w:r w:rsidRPr="00AC4A0D">
        <w:rPr>
          <w:rFonts w:ascii="Times New Roman" w:hAnsi="Times New Roman"/>
          <w:bCs/>
          <w:i/>
          <w:sz w:val="28"/>
          <w:szCs w:val="28"/>
        </w:rPr>
        <w:t>відповідальності</w:t>
      </w:r>
      <w:r w:rsidRPr="00AC4A0D">
        <w:rPr>
          <w:rFonts w:ascii="Times New Roman" w:hAnsi="Times New Roman"/>
          <w:bCs/>
          <w:sz w:val="28"/>
          <w:szCs w:val="28"/>
        </w:rPr>
        <w:t xml:space="preserve"> </w:t>
      </w:r>
      <w:r w:rsidRPr="00AC4A0D">
        <w:rPr>
          <w:rFonts w:ascii="Times New Roman" w:hAnsi="Times New Roman"/>
          <w:bCs/>
          <w:sz w:val="28"/>
          <w:szCs w:val="28"/>
        </w:rPr>
        <w:t>суб’єктів господарювання, що входять до групи компаній, яка вчинила порушення законодавства про захист економічної конкуренції</w:t>
      </w:r>
      <w:r w:rsidRPr="00AC4A0D">
        <w:rPr>
          <w:rFonts w:ascii="Times New Roman" w:hAnsi="Times New Roman"/>
          <w:bCs/>
          <w:sz w:val="28"/>
          <w:szCs w:val="28"/>
        </w:rPr>
        <w:t xml:space="preserve">, </w:t>
      </w:r>
      <w:r w:rsidRPr="00AC4A0D">
        <w:rPr>
          <w:rFonts w:ascii="Times New Roman" w:hAnsi="Times New Roman"/>
          <w:bCs/>
          <w:sz w:val="28"/>
          <w:szCs w:val="28"/>
        </w:rPr>
        <w:t>коли штраф накладатиметься Комітетом на групу суб’єктів господарювання в особі окремих юридичних або фізичних осіб</w:t>
      </w:r>
      <w:r w:rsidRPr="00AC4A0D">
        <w:rPr>
          <w:rFonts w:ascii="Times New Roman" w:hAnsi="Times New Roman"/>
          <w:bCs/>
          <w:sz w:val="28"/>
          <w:szCs w:val="28"/>
        </w:rPr>
        <w:t xml:space="preserve">, </w:t>
      </w:r>
      <w:r w:rsidRPr="00AC4A0D">
        <w:rPr>
          <w:rFonts w:ascii="Times New Roman" w:hAnsi="Times New Roman"/>
          <w:bCs/>
          <w:sz w:val="28"/>
          <w:szCs w:val="28"/>
        </w:rPr>
        <w:t>які безпосередньо вчинили порушення або мають права, без яких вчинення порушення було б неможливим, або отримали чи можуть отримати переваги у конкуренції чи інші вигоди, виходячи із змісту такого виду відповідальності, і може бути стягнутий з будь-якої особи (осіб), яка входить до складу групи компаній, у повному розмірі. Встановлення солідарної відповідальності у випадку притягнення до відповідальності групи компаній, що становить єдиний суб’єкт господарювання, відповідає законодавству про конкуренцію та практику застосування Європейського Союзу.</w:t>
      </w:r>
      <w:r w:rsidRPr="00AC4A0D">
        <w:rPr>
          <w:rFonts w:ascii="Times New Roman" w:hAnsi="Times New Roman"/>
          <w:bCs/>
          <w:sz w:val="28"/>
          <w:szCs w:val="28"/>
        </w:rPr>
        <w:t xml:space="preserve"> </w:t>
      </w:r>
      <w:r w:rsidRPr="00AC4A0D">
        <w:rPr>
          <w:rFonts w:ascii="Times New Roman" w:hAnsi="Times New Roman"/>
          <w:bCs/>
          <w:sz w:val="28"/>
          <w:szCs w:val="28"/>
        </w:rPr>
        <w:t xml:space="preserve">Наприклад, у рішенні по справі С-97/08, </w:t>
      </w:r>
      <w:r w:rsidRPr="00AC4A0D">
        <w:rPr>
          <w:rFonts w:ascii="Times New Roman" w:hAnsi="Times New Roman"/>
          <w:bCs/>
          <w:i/>
          <w:sz w:val="28"/>
          <w:szCs w:val="28"/>
        </w:rPr>
        <w:t>Akzo Nobel NV and Others v Commission of the European Communities</w:t>
      </w:r>
      <w:r w:rsidRPr="00AC4A0D">
        <w:rPr>
          <w:rFonts w:ascii="Times New Roman" w:hAnsi="Times New Roman"/>
          <w:bCs/>
          <w:sz w:val="28"/>
          <w:szCs w:val="28"/>
        </w:rPr>
        <w:t xml:space="preserve"> (рішення від 10.09.2009</w:t>
      </w:r>
      <w:r w:rsidRPr="00AC4A0D">
        <w:rPr>
          <w:rFonts w:ascii="Times New Roman" w:hAnsi="Times New Roman"/>
          <w:bCs/>
          <w:sz w:val="28"/>
          <w:szCs w:val="28"/>
        </w:rPr>
        <w:t>),</w:t>
      </w:r>
      <w:r w:rsidRPr="00AC4A0D">
        <w:rPr>
          <w:rFonts w:ascii="Times New Roman" w:hAnsi="Times New Roman"/>
          <w:bCs/>
          <w:sz w:val="28"/>
          <w:szCs w:val="28"/>
        </w:rPr>
        <w:t xml:space="preserve"> в якій групу компаній </w:t>
      </w:r>
      <w:r w:rsidRPr="00AC4A0D">
        <w:rPr>
          <w:rFonts w:ascii="Times New Roman" w:hAnsi="Times New Roman"/>
          <w:bCs/>
          <w:sz w:val="28"/>
          <w:szCs w:val="28"/>
          <w:lang w:val="en-US"/>
        </w:rPr>
        <w:t>Akzo</w:t>
      </w:r>
      <w:r w:rsidRPr="00AC4A0D">
        <w:rPr>
          <w:rFonts w:ascii="Times New Roman" w:hAnsi="Times New Roman"/>
          <w:bCs/>
          <w:sz w:val="28"/>
          <w:szCs w:val="28"/>
        </w:rPr>
        <w:t xml:space="preserve"> </w:t>
      </w:r>
      <w:r w:rsidRPr="00AC4A0D">
        <w:rPr>
          <w:rFonts w:ascii="Times New Roman" w:hAnsi="Times New Roman"/>
          <w:bCs/>
          <w:sz w:val="28"/>
          <w:szCs w:val="28"/>
          <w:lang w:val="en-US"/>
        </w:rPr>
        <w:t>Nobel</w:t>
      </w:r>
      <w:r w:rsidRPr="00AC4A0D">
        <w:rPr>
          <w:rFonts w:ascii="Times New Roman" w:hAnsi="Times New Roman"/>
          <w:bCs/>
          <w:sz w:val="28"/>
          <w:szCs w:val="28"/>
        </w:rPr>
        <w:t xml:space="preserve"> </w:t>
      </w:r>
      <w:r w:rsidRPr="00AC4A0D">
        <w:rPr>
          <w:rFonts w:ascii="Times New Roman" w:hAnsi="Times New Roman"/>
          <w:bCs/>
          <w:sz w:val="28"/>
          <w:szCs w:val="28"/>
        </w:rPr>
        <w:t>було притягнуто до відповідальності за узгоджені дії на ринку хлориду, Суд ЄС</w:t>
      </w:r>
      <w:r w:rsidRPr="00AC4A0D">
        <w:rPr>
          <w:rFonts w:ascii="Times New Roman" w:hAnsi="Times New Roman"/>
          <w:bCs/>
          <w:sz w:val="28"/>
          <w:szCs w:val="28"/>
        </w:rPr>
        <w:t xml:space="preserve"> </w:t>
      </w:r>
      <w:r w:rsidRPr="00AC4A0D">
        <w:rPr>
          <w:rFonts w:ascii="Times New Roman" w:hAnsi="Times New Roman"/>
          <w:bCs/>
          <w:sz w:val="28"/>
          <w:szCs w:val="28"/>
        </w:rPr>
        <w:t xml:space="preserve">зазначив, що обов’язок із сплаті накладеного штрафу кожного учасника групи є солідарним (англ. </w:t>
      </w:r>
      <w:r w:rsidRPr="00AC4A0D">
        <w:rPr>
          <w:rFonts w:ascii="Times New Roman" w:hAnsi="Times New Roman"/>
          <w:bCs/>
          <w:i/>
          <w:sz w:val="28"/>
          <w:szCs w:val="28"/>
          <w:lang w:val="en-US"/>
        </w:rPr>
        <w:t>joint</w:t>
      </w:r>
      <w:r w:rsidRPr="00AC4A0D">
        <w:rPr>
          <w:rFonts w:ascii="Times New Roman" w:hAnsi="Times New Roman"/>
          <w:bCs/>
          <w:i/>
          <w:sz w:val="28"/>
          <w:szCs w:val="28"/>
        </w:rPr>
        <w:t xml:space="preserve"> </w:t>
      </w:r>
      <w:r w:rsidRPr="00AC4A0D">
        <w:rPr>
          <w:rFonts w:ascii="Times New Roman" w:hAnsi="Times New Roman"/>
          <w:bCs/>
          <w:i/>
          <w:sz w:val="28"/>
          <w:szCs w:val="28"/>
          <w:lang w:val="en-US"/>
        </w:rPr>
        <w:t>and</w:t>
      </w:r>
      <w:r w:rsidRPr="00AC4A0D">
        <w:rPr>
          <w:rFonts w:ascii="Times New Roman" w:hAnsi="Times New Roman"/>
          <w:bCs/>
          <w:i/>
          <w:sz w:val="28"/>
          <w:szCs w:val="28"/>
        </w:rPr>
        <w:t xml:space="preserve"> </w:t>
      </w:r>
      <w:r w:rsidRPr="00AC4A0D">
        <w:rPr>
          <w:rFonts w:ascii="Times New Roman" w:hAnsi="Times New Roman"/>
          <w:bCs/>
          <w:i/>
          <w:sz w:val="28"/>
          <w:szCs w:val="28"/>
          <w:lang w:val="en-US"/>
        </w:rPr>
        <w:t>several</w:t>
      </w:r>
      <w:r w:rsidRPr="00AC4A0D">
        <w:rPr>
          <w:rFonts w:ascii="Times New Roman" w:hAnsi="Times New Roman"/>
          <w:bCs/>
          <w:sz w:val="28"/>
          <w:szCs w:val="28"/>
        </w:rPr>
        <w:t xml:space="preserve">).   </w:t>
      </w:r>
    </w:p>
    <w:p w:rsidR="00EB1EE2" w:rsidRPr="00AC4A0D" w:rsidP="00AC4A0D">
      <w:pPr>
        <w:bidi w:val="0"/>
        <w:ind w:firstLine="709"/>
        <w:rPr>
          <w:rFonts w:ascii="Times New Roman" w:hAnsi="Times New Roman"/>
          <w:b/>
          <w:bCs/>
          <w:i/>
          <w:sz w:val="28"/>
          <w:szCs w:val="28"/>
        </w:rPr>
      </w:pPr>
      <w:r w:rsidRPr="00AC4A0D">
        <w:rPr>
          <w:rFonts w:ascii="Times New Roman" w:hAnsi="Times New Roman"/>
          <w:b/>
          <w:bCs/>
          <w:i/>
          <w:sz w:val="28"/>
          <w:szCs w:val="28"/>
        </w:rPr>
        <w:t>1.</w:t>
      </w:r>
      <w:r w:rsidRPr="00AC4A0D">
        <w:rPr>
          <w:rFonts w:ascii="Times New Roman" w:hAnsi="Times New Roman"/>
          <w:b/>
          <w:bCs/>
          <w:i/>
          <w:sz w:val="28"/>
          <w:szCs w:val="28"/>
        </w:rPr>
        <w:t>10</w:t>
      </w:r>
      <w:r w:rsidRPr="00AC4A0D">
        <w:rPr>
          <w:rFonts w:ascii="Times New Roman" w:hAnsi="Times New Roman"/>
          <w:b/>
          <w:bCs/>
          <w:i/>
          <w:sz w:val="28"/>
          <w:szCs w:val="28"/>
        </w:rPr>
        <w:t xml:space="preserve">. </w:t>
      </w:r>
      <w:r w:rsidRPr="00AC4A0D">
        <w:rPr>
          <w:rFonts w:ascii="Times New Roman" w:hAnsi="Times New Roman"/>
          <w:b/>
          <w:bCs/>
          <w:i/>
          <w:sz w:val="28"/>
          <w:szCs w:val="28"/>
        </w:rPr>
        <w:t>Запровадження нового виду концентрації – безпосереднього або опосередкованого придбання, набуття у власність іншим способом, одержання в управління, оренду, лізинг, концесію чи набуття в інший спосіб права користування активами у вигляді земельної ділянки сільськогосподарського призначення та встановлення відповідного механізму контролю за таким видом концентрації.</w:t>
      </w:r>
    </w:p>
    <w:p w:rsidR="00EB1EE2" w:rsidRPr="00AC4A0D" w:rsidP="00AC4A0D">
      <w:pPr>
        <w:bidi w:val="0"/>
        <w:ind w:firstLine="709"/>
        <w:rPr>
          <w:rFonts w:ascii="Times New Roman" w:hAnsi="Times New Roman"/>
          <w:sz w:val="28"/>
          <w:szCs w:val="28"/>
        </w:rPr>
      </w:pPr>
      <w:r w:rsidRPr="00AC4A0D">
        <w:rPr>
          <w:rFonts w:ascii="Times New Roman" w:hAnsi="Times New Roman"/>
          <w:sz w:val="28"/>
          <w:szCs w:val="28"/>
        </w:rPr>
        <w:t>У зв’язку із запланованим зняттям мораторію на продаж землі сільськогосподарського призначення в України буде відкрито новий відповідний ринок</w:t>
      </w:r>
      <w:r w:rsidRPr="00AC4A0D">
        <w:rPr>
          <w:rFonts w:ascii="Times New Roman" w:hAnsi="Times New Roman"/>
          <w:sz w:val="28"/>
          <w:szCs w:val="28"/>
        </w:rPr>
        <w:t>.</w:t>
      </w:r>
      <w:r w:rsidRPr="00AC4A0D">
        <w:rPr>
          <w:rFonts w:ascii="Times New Roman" w:hAnsi="Times New Roman"/>
          <w:sz w:val="28"/>
          <w:szCs w:val="28"/>
        </w:rPr>
        <w:t xml:space="preserve"> Зазначене без належного регулювання і державного контролю створює ризики монополізації ринку землі сільськогосподарського призначення. </w:t>
      </w:r>
    </w:p>
    <w:p w:rsidR="00EB1EE2" w:rsidRPr="00AC4A0D" w:rsidP="00AC4A0D">
      <w:pPr>
        <w:bidi w:val="0"/>
        <w:ind w:firstLine="709"/>
        <w:rPr>
          <w:rFonts w:ascii="Times New Roman" w:hAnsi="Times New Roman"/>
          <w:sz w:val="28"/>
          <w:szCs w:val="28"/>
        </w:rPr>
      </w:pPr>
      <w:r w:rsidRPr="00AC4A0D">
        <w:rPr>
          <w:rFonts w:ascii="Times New Roman" w:hAnsi="Times New Roman"/>
          <w:sz w:val="28"/>
          <w:szCs w:val="28"/>
        </w:rPr>
        <w:t>Відповідно до статті 3 Закону України «Про Антимонопольний Комітет України, основним завданням Комітету, зокрема є здійснення контролю за концентрацією, узгодженими діями суб’єктів господарювання та дотриманням вимог законодавства про захист економічної конкуренції під час регулювання цін (тарифів) на товари, що виробляються (реалізуються) суб’єктами природних монополій, сприяння розвитку добросовісної конкуренції.</w:t>
      </w:r>
    </w:p>
    <w:p w:rsidR="00EB1EE2" w:rsidRPr="00AC4A0D" w:rsidP="00AC4A0D">
      <w:pPr>
        <w:bidi w:val="0"/>
        <w:ind w:firstLine="709"/>
        <w:rPr>
          <w:rFonts w:ascii="Times New Roman" w:hAnsi="Times New Roman"/>
          <w:sz w:val="28"/>
          <w:szCs w:val="28"/>
        </w:rPr>
      </w:pPr>
      <w:r w:rsidRPr="00AC4A0D">
        <w:rPr>
          <w:rFonts w:ascii="Times New Roman" w:hAnsi="Times New Roman"/>
          <w:sz w:val="28"/>
          <w:szCs w:val="28"/>
        </w:rPr>
        <w:t>Враховуючи наведене, виникла необхідність внесення змін до Закону України «Про захист економічної конкуренції» в частині визначення поняття «концентрація», шляхом запровадження нового виду концентрації – безпосереднього або опосередкованого придбання, набуття у власність іншим способом, одержання в управління, оренду, лізинг, концесію чи набуття в інший спосіб права користування активами у вигляді земельної ділянки сільськогосподарського призначення та встановлення відповідного механізму контролю за таким видом концентрації</w:t>
      </w:r>
      <w:r w:rsidRPr="00AC4A0D" w:rsidR="00BA18F0">
        <w:rPr>
          <w:rFonts w:ascii="Times New Roman" w:hAnsi="Times New Roman"/>
          <w:sz w:val="28"/>
          <w:szCs w:val="28"/>
        </w:rPr>
        <w:t>.</w:t>
      </w:r>
    </w:p>
    <w:p w:rsidR="00BA18F0" w:rsidRPr="00AC4A0D" w:rsidP="00AC4A0D">
      <w:pPr>
        <w:bidi w:val="0"/>
        <w:ind w:firstLine="709"/>
        <w:rPr>
          <w:rFonts w:ascii="Times New Roman" w:hAnsi="Times New Roman"/>
          <w:b/>
          <w:bCs/>
          <w:i/>
          <w:iCs/>
          <w:sz w:val="28"/>
          <w:szCs w:val="28"/>
        </w:rPr>
      </w:pPr>
      <w:r w:rsidRPr="00AC4A0D">
        <w:rPr>
          <w:rFonts w:ascii="Times New Roman" w:hAnsi="Times New Roman"/>
          <w:b/>
          <w:bCs/>
          <w:i/>
          <w:iCs/>
          <w:sz w:val="28"/>
          <w:szCs w:val="28"/>
        </w:rPr>
        <w:t xml:space="preserve">1.11. </w:t>
      </w:r>
      <w:r w:rsidRPr="00AC4A0D">
        <w:rPr>
          <w:rFonts w:ascii="Times New Roman" w:hAnsi="Times New Roman"/>
          <w:b/>
          <w:bCs/>
          <w:i/>
          <w:iCs/>
          <w:sz w:val="28"/>
          <w:szCs w:val="28"/>
        </w:rPr>
        <w:t>Вертикальні узгоджені дії</w:t>
      </w:r>
    </w:p>
    <w:p w:rsidR="00BA18F0" w:rsidRPr="00AC4A0D" w:rsidP="00AC4A0D">
      <w:pPr>
        <w:bidi w:val="0"/>
        <w:ind w:firstLine="709"/>
        <w:rPr>
          <w:rFonts w:ascii="Times New Roman" w:hAnsi="Times New Roman"/>
          <w:sz w:val="28"/>
          <w:szCs w:val="28"/>
        </w:rPr>
      </w:pPr>
      <w:r w:rsidRPr="00AC4A0D">
        <w:rPr>
          <w:rFonts w:ascii="Times New Roman" w:hAnsi="Times New Roman"/>
          <w:sz w:val="28"/>
          <w:szCs w:val="28"/>
        </w:rPr>
        <w:t xml:space="preserve">Статті 7 та 8 Закону встановлюють винятки із загальної заборони антиконкурентних узгоджених дій суб’єктів господарювання, передбаченої частиною 4 статті 6 цього закону, для окремих категорій узгоджених дій, а саме: </w:t>
      </w:r>
    </w:p>
    <w:p w:rsidR="00BA18F0" w:rsidRPr="00AC4A0D" w:rsidP="00AC4A0D">
      <w:pPr>
        <w:bidi w:val="0"/>
        <w:ind w:firstLine="709"/>
        <w:rPr>
          <w:rFonts w:ascii="Times New Roman" w:hAnsi="Times New Roman"/>
          <w:sz w:val="28"/>
          <w:szCs w:val="28"/>
        </w:rPr>
      </w:pPr>
      <w:r w:rsidRPr="00AC4A0D">
        <w:rPr>
          <w:rFonts w:ascii="Times New Roman" w:hAnsi="Times New Roman"/>
          <w:sz w:val="28"/>
          <w:szCs w:val="28"/>
        </w:rPr>
        <w:t xml:space="preserve">узгоджених дій малих та середніх підприємців щодо спільного придбання товарів;  </w:t>
      </w:r>
    </w:p>
    <w:p w:rsidR="00BA18F0" w:rsidRPr="00AC4A0D" w:rsidP="00AC4A0D">
      <w:pPr>
        <w:bidi w:val="0"/>
        <w:ind w:firstLine="709"/>
        <w:rPr>
          <w:rFonts w:ascii="Times New Roman" w:hAnsi="Times New Roman"/>
          <w:sz w:val="28"/>
          <w:szCs w:val="28"/>
        </w:rPr>
      </w:pPr>
      <w:r w:rsidRPr="00AC4A0D">
        <w:rPr>
          <w:rFonts w:ascii="Times New Roman" w:hAnsi="Times New Roman"/>
          <w:sz w:val="28"/>
          <w:szCs w:val="28"/>
        </w:rPr>
        <w:t>узгоджених дій стосовно постачання та використання товарів;</w:t>
      </w:r>
    </w:p>
    <w:p w:rsidR="00BA18F0" w:rsidRPr="00AC4A0D" w:rsidP="00AC4A0D">
      <w:pPr>
        <w:bidi w:val="0"/>
        <w:ind w:firstLine="709"/>
        <w:rPr>
          <w:rFonts w:ascii="Times New Roman" w:hAnsi="Times New Roman"/>
          <w:sz w:val="28"/>
          <w:szCs w:val="28"/>
        </w:rPr>
      </w:pPr>
      <w:r w:rsidRPr="00AC4A0D">
        <w:rPr>
          <w:rFonts w:ascii="Times New Roman" w:hAnsi="Times New Roman"/>
          <w:sz w:val="28"/>
          <w:szCs w:val="28"/>
        </w:rPr>
        <w:t>узгоджених дій стосовно прав інтелектуальної власності.</w:t>
      </w:r>
    </w:p>
    <w:p w:rsidR="00BA18F0" w:rsidRPr="00AC4A0D" w:rsidP="00AC4A0D">
      <w:pPr>
        <w:bidi w:val="0"/>
        <w:ind w:firstLine="709"/>
        <w:rPr>
          <w:rFonts w:ascii="Times New Roman" w:hAnsi="Times New Roman"/>
          <w:sz w:val="28"/>
          <w:szCs w:val="28"/>
        </w:rPr>
      </w:pPr>
      <w:r w:rsidRPr="00AC4A0D">
        <w:rPr>
          <w:rFonts w:ascii="Times New Roman" w:hAnsi="Times New Roman"/>
          <w:sz w:val="28"/>
          <w:szCs w:val="28"/>
        </w:rPr>
        <w:t>При цьому норми статей 7-8 Закону мають загальнодекларативний характер, базуються на оціночних поняттях, таких як «суттєве обмеження конкуренції», «підвищення конкурентоспроможності», «економічно необґрунтоване підвищення цін», допускаючи неоднозначне тлумачення, в силу чого їхнє практичне застосування є ускладненим.</w:t>
      </w:r>
    </w:p>
    <w:p w:rsidR="00BA18F0" w:rsidRPr="00AC4A0D" w:rsidP="00AC4A0D">
      <w:pPr>
        <w:bidi w:val="0"/>
        <w:ind w:firstLine="709"/>
        <w:rPr>
          <w:rFonts w:ascii="Times New Roman" w:hAnsi="Times New Roman"/>
          <w:sz w:val="28"/>
          <w:szCs w:val="28"/>
        </w:rPr>
      </w:pPr>
      <w:r w:rsidRPr="00AC4A0D">
        <w:rPr>
          <w:rFonts w:ascii="Times New Roman" w:hAnsi="Times New Roman"/>
          <w:sz w:val="28"/>
          <w:szCs w:val="28"/>
        </w:rPr>
        <w:t xml:space="preserve">Водночас, стаття 11 Закону передбачає, що Антимонопольний комітет України може визначати типові вимоги, зокрема, до узгоджених дій, передбачених у статтях 7, 8 і 9 Закону. Узгоджені дії, що відповідають типовим вимогам до певних видів узгоджених дій, дозволяються і не потребують дозволу Антимонопольного комітету України в індивідуальному порядку відповідно до частини 1 статті 10 цього Закону. </w:t>
      </w:r>
    </w:p>
    <w:p w:rsidR="00BA18F0" w:rsidRPr="00AC4A0D" w:rsidP="00AC4A0D">
      <w:pPr>
        <w:bidi w:val="0"/>
        <w:ind w:firstLine="709"/>
        <w:rPr>
          <w:rFonts w:ascii="Times New Roman" w:hAnsi="Times New Roman"/>
          <w:sz w:val="28"/>
          <w:szCs w:val="28"/>
        </w:rPr>
      </w:pPr>
      <w:r w:rsidRPr="00AC4A0D">
        <w:rPr>
          <w:rFonts w:ascii="Times New Roman" w:hAnsi="Times New Roman"/>
          <w:sz w:val="28"/>
          <w:szCs w:val="28"/>
        </w:rPr>
        <w:t>Отже, в існуючий редакції Закону наявне подвійне регулювання тих самих правовідносин, адже групове виключення із заборони на певні категорії узгоджених дій суб’єктів господарювання може встановлюватися як на підставі норм статей 7 – 8 Закону, так і на підставі положень типових вимог, прийнятих Антимонопольним комітетом України відповідно до статті 11 цього Закону.</w:t>
      </w:r>
    </w:p>
    <w:p w:rsidR="00BA18F0" w:rsidRPr="00AC4A0D" w:rsidP="00AC4A0D">
      <w:pPr>
        <w:bidi w:val="0"/>
        <w:ind w:firstLine="709"/>
        <w:rPr>
          <w:rFonts w:ascii="Times New Roman" w:hAnsi="Times New Roman"/>
          <w:b/>
          <w:bCs/>
          <w:i/>
          <w:iCs/>
          <w:sz w:val="28"/>
          <w:szCs w:val="28"/>
        </w:rPr>
      </w:pPr>
      <w:r w:rsidRPr="00AC4A0D" w:rsidR="001C396A">
        <w:rPr>
          <w:rFonts w:ascii="Times New Roman" w:hAnsi="Times New Roman"/>
          <w:b/>
          <w:bCs/>
          <w:i/>
          <w:iCs/>
          <w:sz w:val="28"/>
          <w:szCs w:val="28"/>
        </w:rPr>
        <w:t>1.1</w:t>
      </w:r>
      <w:r w:rsidRPr="00AC4A0D" w:rsidR="001C396A">
        <w:rPr>
          <w:rFonts w:ascii="Times New Roman" w:hAnsi="Times New Roman"/>
          <w:b/>
          <w:bCs/>
          <w:i/>
          <w:iCs/>
          <w:sz w:val="28"/>
          <w:szCs w:val="28"/>
        </w:rPr>
        <w:t>2</w:t>
      </w:r>
      <w:r w:rsidRPr="00AC4A0D" w:rsidR="001C396A">
        <w:rPr>
          <w:rFonts w:ascii="Times New Roman" w:hAnsi="Times New Roman"/>
          <w:b/>
          <w:bCs/>
          <w:i/>
          <w:iCs/>
          <w:sz w:val="28"/>
          <w:szCs w:val="28"/>
        </w:rPr>
        <w:t>.</w:t>
      </w:r>
      <w:r w:rsidRPr="00AC4A0D" w:rsidR="001C396A">
        <w:rPr>
          <w:rFonts w:ascii="Times New Roman" w:hAnsi="Times New Roman"/>
          <w:b/>
          <w:bCs/>
          <w:i/>
          <w:iCs/>
          <w:sz w:val="28"/>
          <w:szCs w:val="28"/>
        </w:rPr>
        <w:t xml:space="preserve"> </w:t>
      </w:r>
      <w:r w:rsidRPr="00AC4A0D" w:rsidR="001C396A">
        <w:rPr>
          <w:rFonts w:ascii="Times New Roman" w:hAnsi="Times New Roman"/>
          <w:b/>
          <w:bCs/>
          <w:i/>
          <w:iCs/>
          <w:sz w:val="28"/>
          <w:szCs w:val="28"/>
        </w:rPr>
        <w:t>Підвищення ефективності Антимонопольного комітету</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 xml:space="preserve">1.12.1. </w:t>
      </w:r>
      <w:r w:rsidRPr="00AC4A0D">
        <w:rPr>
          <w:rFonts w:ascii="Times New Roman" w:hAnsi="Times New Roman"/>
          <w:bCs/>
          <w:sz w:val="28"/>
          <w:szCs w:val="28"/>
        </w:rPr>
        <w:t xml:space="preserve">Відповідно до Закону України «Про Антимонопольний комітет України» (далі – Закон) для реалізації завдань, покладених на Антимонопольний комітет України (далі – Комітет), в АР Крим, областях, містах Києві і Севастополі утворюються територіальні відділення Комітету, які є юридичними особами, мають поточні та вкладні (депозитні) рахунки в установах банку, печатки із зображенням Державного герба України та своїм найменуванням. </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На сьогоднішній день у структурі Комітету функціонують 24 територіальних відділення Комітету у складі 443 штатних одиниць, на утримання яких з Державного бюджету з Державного бюджету за 8 місяців 2019 року профінансовано 120 750,473 тис. грн., з яких 109 424,6 тис. грн. – на заробітну плату та відповідні нарахування, 11 325,873 тис. грн. – інші видатки.</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Функціонування територіальних відділень Комітету як окремих юридичних осіб передбачає наявність у штатних розписах кожного територіального відділення обов’язкових адміністративних посад: зокрема, посади бухгалтера, особи, відповідальної за кадрову роботу, тощо. Отже, щонайменше 50 посадових осіб (державних службовців) територіальних відділень Комітету не задіяні у здійсненні основних завдань органів Комітету, а виконують суто обслуговуючі функції.</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Законодавство України в сфері організації діяльності органів державної влади зазнає змін в частині побудови роботи органів європейського зразка, на основі найкращих світових практик, встановлення нових вимог до управлінського апарату органів влади, з одночасним підвищенням якості виконання ними своїх основних завдань.</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З метою мінімізації витрат на утримання державного апарату, підвищення ефективності координації роботи територіальних відділень, спрощення фінансового, бухгалтерського та оперативного управління пропонується включити територіальні відділення до складу Комітету як відокремлених структурних підрозділів без статусу юридичної особи.</w:t>
      </w:r>
    </w:p>
    <w:p w:rsidR="001C396A" w:rsidRPr="00AC4A0D" w:rsidP="00AC4A0D">
      <w:pPr>
        <w:bidi w:val="0"/>
        <w:ind w:firstLine="709"/>
        <w:rPr>
          <w:rFonts w:ascii="Times New Roman" w:hAnsi="Times New Roman"/>
          <w:b/>
          <w:bCs/>
          <w:i/>
          <w:iCs/>
          <w:sz w:val="28"/>
          <w:szCs w:val="28"/>
        </w:rPr>
      </w:pPr>
      <w:r w:rsidRPr="00AC4A0D">
        <w:rPr>
          <w:rFonts w:ascii="Times New Roman" w:hAnsi="Times New Roman"/>
          <w:bCs/>
          <w:sz w:val="28"/>
          <w:szCs w:val="28"/>
        </w:rPr>
        <w:t>1.12.</w:t>
      </w:r>
      <w:r w:rsidRPr="00AC4A0D">
        <w:rPr>
          <w:rFonts w:ascii="Times New Roman" w:hAnsi="Times New Roman"/>
          <w:bCs/>
          <w:sz w:val="28"/>
          <w:szCs w:val="28"/>
        </w:rPr>
        <w:t>2</w:t>
      </w:r>
      <w:r w:rsidRPr="00AC4A0D">
        <w:rPr>
          <w:rFonts w:ascii="Times New Roman" w:hAnsi="Times New Roman"/>
          <w:bCs/>
          <w:sz w:val="28"/>
          <w:szCs w:val="28"/>
        </w:rPr>
        <w:t>.</w:t>
      </w:r>
      <w:r w:rsidRPr="00AC4A0D">
        <w:rPr>
          <w:rFonts w:ascii="Times New Roman" w:hAnsi="Times New Roman"/>
          <w:bCs/>
          <w:sz w:val="28"/>
          <w:szCs w:val="28"/>
        </w:rPr>
        <w:t xml:space="preserve"> </w:t>
      </w:r>
      <w:r w:rsidRPr="00AC4A0D">
        <w:rPr>
          <w:rFonts w:ascii="Times New Roman" w:hAnsi="Times New Roman"/>
          <w:bCs/>
          <w:sz w:val="28"/>
          <w:szCs w:val="28"/>
        </w:rPr>
        <w:t>З метою узгодження положень Закону із Законом України «Про державну службу» пропонується внесення змін до Закону у частині визначення повноважень керівника апарату АМКУ, порядку його взаємодії з Головою Комітету, суб’єкта його призначення, порядку призначення на посаду та звільнення з посади, а також порядку заміщення на час відсутності або неможливості здійснення ним своїх повноважень</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 xml:space="preserve">1.12.3. </w:t>
      </w:r>
      <w:r w:rsidRPr="00AC4A0D">
        <w:rPr>
          <w:rFonts w:ascii="Times New Roman" w:hAnsi="Times New Roman"/>
          <w:bCs/>
          <w:sz w:val="28"/>
          <w:szCs w:val="28"/>
        </w:rPr>
        <w:t>У багаторічній діяльності Комітету рішення приймаються, рекомендації та пропозиції надаються колегіальними органами Комітету: Комітетом як вищим колегіальним органом, адміністративними колегіями Комітету та територіальних відділень Комітету. Запропоновані зміни спрямовані на виключення фактично «мертвих» норм Закону, які надають право державним уповноваженим одноосібно приймати рішення, надавати рекомендації та пропозиції.</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 xml:space="preserve">1.12.4. </w:t>
      </w:r>
      <w:r w:rsidRPr="00AC4A0D">
        <w:rPr>
          <w:rFonts w:ascii="Times New Roman" w:hAnsi="Times New Roman"/>
          <w:bCs/>
          <w:sz w:val="28"/>
          <w:szCs w:val="28"/>
        </w:rPr>
        <w:t>Пунктом 38 Плану заходів щодо дерегуляції господарської діяльності, затвердженого розпорядженням Кабінету Міністрів України від 18 березня 2015 року № 357-р, передбачено внесення до нормативно-правових актів змін з метою недопущення випадків дублювання інформації, що надається на запит органів Антимонопольного комітету України. З цією метою пропонується внесення змін до статті 22-1 Закону, яка регулює обов’язок з надання інформації на вимогу органів Комітету.</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 xml:space="preserve">12.5. </w:t>
      </w:r>
      <w:r w:rsidRPr="00AC4A0D">
        <w:rPr>
          <w:rFonts w:ascii="Times New Roman" w:hAnsi="Times New Roman"/>
          <w:bCs/>
          <w:sz w:val="28"/>
          <w:szCs w:val="28"/>
        </w:rPr>
        <w:t xml:space="preserve">Відповідно до Закону Комітет є державним органом із спеціальним статусом, метою діяльності якого є забезпечення державного захисту конкуренції у підприємницькій діяльності. </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Особливості спеціального статусу Комітету обумовлюються його завданнями та повноваженнями, в тому числі роллю у формуванні конкурентної політики, і полягають, зокрема, у спеціальних процесуальних засадах діяльності Комітету, наданні соціальних гарантій, охороні особистих і майнових прав працівників Комітету на рівні з працівниками правоохоронних органів, в умовах оплати праці.</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 xml:space="preserve">Одним із ключових принципів діяльності Комітету є належні гарантії його незалежності. </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Серед таких гарантій є умови оплати праці, які повинні:</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забезпечувати достатні матеріальні умови для належного виконання ними службових обов’язків з урахуванням специфіки, інтенсивності та характеру роботи;</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забезпечувати добір та комплектування Комітету висококваліфікованими кадрами та їх збереження;</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стимулювати досягнення високих результатів у службовій діяльності;</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компенсувати фізичні та інтелектуальні затрати працівників.</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 xml:space="preserve">За результатами аналізу конкурсів на зайняття вакантних посад Комітету, звільнень працівників з Комітету вбачається: </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низька активність осіб, які бажають брати участь у конкурсах;</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відсутність намірів молодих спеціалістів формувати свою майбутню трудову діяльність у Комітеті;</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стабільно високий відсоток плинності кадрів Комітету.</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Однією з найголовніших причин цих негативних для Комітету явищ є низький розмір посадових окладів працівників Комітету та, відповідно, заробітних плат.</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 xml:space="preserve">Два роки поспіль найкращі міжнародні експерти у галузі економіки та конкуренції постійно звертають увагу на недостатність фінансування Комітету, що не сприяє його незалежності та неупередженості при виконанні функцій. </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Такі доведені граничні обсяги видатків на 2019-2021 роки нівелюють можливість виконання рекомендацій Організації економічного співробітництва та розвитку (далі - ОЕСР), а саме недостатнє фінансування не дозволить Уряду України виконати надані рекомендації ОЕСР (2016 – рекомендація № 5.1.1 ("Забезпечити автономію АМКУ та надати належні ресурси, щоб АМКУ міг підтримувати високі стандарти діяльності під час виконання своєї місії"), створити належні умови праці для працівників системи органів Комітету. (Як відзначено у п. 5.1.1 Звіту ОЕСР 2016, «Платня й умови роботи в усіх підрозділах АМКУ мають бути конкурентними в порівнянні з відповідними міністерствами й регуляторами, які займаються складними економічними питаннями, судами, та до певної міри приватними структурами»).</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У 2019 році середньомісячна заробітна плата на одного працівника Комітету становить 15,0 тис. грн., що значно менше, ніж в інших державних органах. Для прикладу, середньомісячна заробітна плата на одного працівника в інших державних органах України у 2019 році становить: у НАЗК – 21,34 тис. грн., у Державному бюро розслідувань – 33,97 тис. грн.; в НКРЕКП – 47,66 тис. грн.; у НАБУ – 61,27 тис. грн.</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Доведений рівень оплати праці фактично унеможливлює забезпечення незалежності Антимонопольного комітету України, належне виконання існуючих та впровадження нових функцій та унеможливить подальший розвиток Комітетом конкурентної політики і національного законодавства з урахуванням рекомендацій ОЕСР щодо необхідності запровадження в Україні:</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ефективної системи контролю за наданням державної допомоги;</w:t>
      </w:r>
    </w:p>
    <w:p w:rsidR="001C396A" w:rsidRPr="00AC4A0D" w:rsidP="00AC4A0D">
      <w:pPr>
        <w:numPr>
          <w:numId w:val="13"/>
        </w:numPr>
        <w:bidi w:val="0"/>
        <w:rPr>
          <w:rFonts w:ascii="Times New Roman" w:hAnsi="Times New Roman"/>
          <w:bCs/>
          <w:sz w:val="28"/>
          <w:szCs w:val="28"/>
        </w:rPr>
      </w:pPr>
      <w:r w:rsidRPr="00AC4A0D">
        <w:rPr>
          <w:rFonts w:ascii="Times New Roman" w:hAnsi="Times New Roman"/>
          <w:bCs/>
          <w:sz w:val="28"/>
          <w:szCs w:val="28"/>
        </w:rPr>
        <w:t>удосконалення правил контролю за економічною концентрацією;</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посилення слідчих повноважень АМКУ, у тому числі шляхом запровадження механізмів обшуку службових приміщень і вилучення доказів;</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w:t>
        <w:tab/>
        <w:t>відповідність фінансових ресурсів зростанню навантаження на орган оскарження у процесі публічних закупівель.</w:t>
      </w:r>
    </w:p>
    <w:p w:rsidR="001C396A" w:rsidRPr="00AC4A0D" w:rsidP="00AC4A0D">
      <w:pPr>
        <w:bidi w:val="0"/>
        <w:ind w:firstLine="709"/>
        <w:rPr>
          <w:rFonts w:ascii="Times New Roman" w:hAnsi="Times New Roman"/>
          <w:bCs/>
          <w:sz w:val="28"/>
          <w:szCs w:val="28"/>
        </w:rPr>
      </w:pPr>
      <w:r w:rsidRPr="00AC4A0D">
        <w:rPr>
          <w:rFonts w:ascii="Times New Roman" w:hAnsi="Times New Roman"/>
          <w:bCs/>
          <w:sz w:val="28"/>
          <w:szCs w:val="28"/>
        </w:rPr>
        <w:t>З метою збереження кадрового складу Комітету та підвищення привабливості Комітету як органу для працевлаштування і, як наслідок, забезпечення належного виконання Комітетом поставлених державою завдань на належному рівні існує нагальна потреба у збільшенні розміру посадових окладів працівників Комітету</w:t>
      </w:r>
      <w:r w:rsidRPr="00AC4A0D">
        <w:rPr>
          <w:rFonts w:ascii="Times New Roman" w:hAnsi="Times New Roman"/>
          <w:bCs/>
          <w:sz w:val="28"/>
          <w:szCs w:val="28"/>
        </w:rPr>
        <w:t>.</w:t>
      </w:r>
    </w:p>
    <w:p w:rsidR="00EB1EE2" w:rsidRPr="00AC4A0D" w:rsidP="00AC4A0D">
      <w:pPr>
        <w:bidi w:val="0"/>
        <w:ind w:firstLine="0"/>
        <w:rPr>
          <w:rFonts w:ascii="Times New Roman" w:hAnsi="Times New Roman"/>
          <w:sz w:val="28"/>
          <w:szCs w:val="28"/>
        </w:rPr>
      </w:pPr>
    </w:p>
    <w:p w:rsidR="007903BE" w:rsidRPr="00AC4A0D" w:rsidP="00AC4A0D">
      <w:pPr>
        <w:widowControl w:val="0"/>
        <w:bidi w:val="0"/>
        <w:ind w:firstLine="709"/>
        <w:rPr>
          <w:rFonts w:ascii="Times New Roman" w:hAnsi="Times New Roman"/>
          <w:sz w:val="28"/>
          <w:szCs w:val="28"/>
        </w:rPr>
      </w:pPr>
      <w:r w:rsidRPr="00AC4A0D">
        <w:rPr>
          <w:rFonts w:ascii="Times New Roman" w:hAnsi="Times New Roman"/>
          <w:b/>
          <w:bCs/>
          <w:sz w:val="28"/>
          <w:szCs w:val="28"/>
        </w:rPr>
        <w:t>2. Мета і шляхи її досягнення</w:t>
      </w:r>
    </w:p>
    <w:p w:rsidR="00F06F11" w:rsidRPr="00AC4A0D" w:rsidP="00AC4A0D">
      <w:pPr>
        <w:bidi w:val="0"/>
        <w:ind w:firstLine="709"/>
        <w:rPr>
          <w:rFonts w:ascii="Times New Roman" w:hAnsi="Times New Roman"/>
          <w:sz w:val="28"/>
          <w:szCs w:val="28"/>
        </w:rPr>
      </w:pPr>
      <w:r w:rsidRPr="00AC4A0D" w:rsidR="007903BE">
        <w:rPr>
          <w:rFonts w:ascii="Times New Roman" w:hAnsi="Times New Roman"/>
          <w:sz w:val="28"/>
          <w:szCs w:val="28"/>
        </w:rPr>
        <w:t>М</w:t>
      </w:r>
      <w:r w:rsidRPr="00AC4A0D" w:rsidR="00D7028F">
        <w:rPr>
          <w:rFonts w:ascii="Times New Roman" w:hAnsi="Times New Roman"/>
          <w:sz w:val="28"/>
          <w:szCs w:val="28"/>
        </w:rPr>
        <w:t xml:space="preserve">етою </w:t>
      </w:r>
      <w:r w:rsidRPr="00AC4A0D" w:rsidR="00E15F8C">
        <w:rPr>
          <w:rFonts w:ascii="Times New Roman" w:hAnsi="Times New Roman"/>
          <w:sz w:val="28"/>
          <w:szCs w:val="28"/>
        </w:rPr>
        <w:t xml:space="preserve">законопроекту є підвищення правової визначеності </w:t>
      </w:r>
      <w:r w:rsidRPr="00AC4A0D" w:rsidR="00261D43">
        <w:rPr>
          <w:rFonts w:ascii="Times New Roman" w:hAnsi="Times New Roman"/>
          <w:sz w:val="28"/>
          <w:szCs w:val="28"/>
        </w:rPr>
        <w:t xml:space="preserve">та ефективності </w:t>
      </w:r>
      <w:r w:rsidRPr="00AC4A0D" w:rsidR="00E15F8C">
        <w:rPr>
          <w:rFonts w:ascii="Times New Roman" w:hAnsi="Times New Roman"/>
          <w:sz w:val="28"/>
          <w:szCs w:val="28"/>
        </w:rPr>
        <w:t xml:space="preserve"> діяльності </w:t>
      </w:r>
      <w:r w:rsidRPr="00AC4A0D" w:rsidR="00261D43">
        <w:rPr>
          <w:rFonts w:ascii="Times New Roman" w:hAnsi="Times New Roman"/>
          <w:sz w:val="28"/>
          <w:szCs w:val="28"/>
        </w:rPr>
        <w:t xml:space="preserve">державної системи розвитку та захисту конкуренції, зокрема, </w:t>
      </w:r>
      <w:r w:rsidRPr="00AC4A0D" w:rsidR="00E15F8C">
        <w:rPr>
          <w:rFonts w:ascii="Times New Roman" w:hAnsi="Times New Roman"/>
          <w:sz w:val="28"/>
          <w:szCs w:val="28"/>
        </w:rPr>
        <w:t>Антимонопольного комітету України шляхом:</w:t>
      </w:r>
      <w:r w:rsidRPr="00AC4A0D" w:rsidR="00BB207F">
        <w:rPr>
          <w:rFonts w:ascii="Times New Roman" w:hAnsi="Times New Roman"/>
          <w:sz w:val="28"/>
          <w:szCs w:val="28"/>
        </w:rPr>
        <w:t xml:space="preserve"> </w:t>
      </w:r>
    </w:p>
    <w:p w:rsidR="00142F37" w:rsidRPr="00AC4A0D" w:rsidP="00AC4A0D">
      <w:pPr>
        <w:bidi w:val="0"/>
        <w:ind w:firstLine="709"/>
        <w:rPr>
          <w:rFonts w:ascii="Times New Roman" w:hAnsi="Times New Roman"/>
          <w:sz w:val="28"/>
          <w:szCs w:val="28"/>
        </w:rPr>
      </w:pPr>
      <w:r w:rsidRPr="00AC4A0D" w:rsidR="001C396A">
        <w:rPr>
          <w:rFonts w:ascii="Times New Roman" w:hAnsi="Times New Roman"/>
          <w:sz w:val="28"/>
          <w:szCs w:val="28"/>
        </w:rPr>
        <w:t xml:space="preserve">- </w:t>
      </w:r>
      <w:r w:rsidRPr="00AC4A0D">
        <w:rPr>
          <w:rFonts w:ascii="Times New Roman" w:hAnsi="Times New Roman"/>
          <w:sz w:val="28"/>
          <w:szCs w:val="28"/>
        </w:rPr>
        <w:t>розвитку інституту підзвітності Антимонопольного комітету України Верховній Раді України.</w:t>
      </w:r>
    </w:p>
    <w:p w:rsidR="00142F37" w:rsidRPr="00AC4A0D" w:rsidP="00AC4A0D">
      <w:pPr>
        <w:pStyle w:val="ListParagraph"/>
        <w:numPr>
          <w:numId w:val="11"/>
        </w:numPr>
        <w:bidi w:val="0"/>
        <w:spacing w:after="0" w:line="240" w:lineRule="auto"/>
        <w:ind w:left="0" w:firstLine="567"/>
        <w:rPr>
          <w:rFonts w:ascii="Times New Roman" w:hAnsi="Times New Roman"/>
          <w:sz w:val="28"/>
          <w:szCs w:val="28"/>
        </w:rPr>
      </w:pPr>
      <w:r w:rsidRPr="00AC4A0D">
        <w:rPr>
          <w:rFonts w:ascii="Times New Roman" w:hAnsi="Times New Roman"/>
          <w:color w:val="000000"/>
          <w:sz w:val="28"/>
          <w:szCs w:val="28"/>
          <w:u w:color="000000"/>
        </w:rPr>
        <w:t>встановлення підстав перевірок органами Антимонопольного комітету України суб’єктів господарювання та об’єднань;</w:t>
      </w:r>
    </w:p>
    <w:p w:rsidR="00142F37" w:rsidRPr="00AC4A0D" w:rsidP="00AC4A0D">
      <w:pPr>
        <w:pStyle w:val="ListParagraph"/>
        <w:numPr>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spacing w:after="0" w:line="240" w:lineRule="auto"/>
        <w:ind w:left="0" w:firstLine="567"/>
        <w:rPr>
          <w:rFonts w:ascii="Times New Roman" w:hAnsi="Times New Roman"/>
          <w:color w:val="000000"/>
          <w:sz w:val="28"/>
          <w:szCs w:val="28"/>
          <w:shd w:val="clear" w:color="auto" w:fill="FFFFFF"/>
        </w:rPr>
      </w:pPr>
      <w:r w:rsidRPr="00AC4A0D">
        <w:rPr>
          <w:rFonts w:ascii="Times New Roman" w:hAnsi="Times New Roman"/>
          <w:color w:val="000000"/>
          <w:sz w:val="28"/>
          <w:szCs w:val="28"/>
          <w:shd w:val="clear" w:color="auto" w:fill="FFFFFF"/>
        </w:rPr>
        <w:t xml:space="preserve">  запровадження правового інституту врегулювання спору між органом Антимонопольного комітету України та суб’єктом господарювання у справах про порушення конкуренційного законодавства (</w:t>
      </w:r>
      <w:r w:rsidRPr="00AC4A0D" w:rsidR="00261D43">
        <w:rPr>
          <w:rFonts w:ascii="Times New Roman" w:hAnsi="Times New Roman"/>
          <w:color w:val="000000"/>
          <w:sz w:val="28"/>
          <w:szCs w:val="28"/>
          <w:shd w:val="clear" w:color="auto" w:fill="FFFFFF"/>
          <w:lang w:val="en-GB"/>
        </w:rPr>
        <w:t>settlement</w:t>
      </w:r>
      <w:r w:rsidRPr="00AC4A0D">
        <w:rPr>
          <w:rFonts w:ascii="Times New Roman" w:hAnsi="Times New Roman"/>
          <w:color w:val="000000"/>
          <w:sz w:val="28"/>
          <w:szCs w:val="28"/>
          <w:shd w:val="clear" w:color="auto" w:fill="FFFFFF"/>
        </w:rPr>
        <w:t>);</w:t>
      </w:r>
    </w:p>
    <w:p w:rsidR="00142F37" w:rsidRPr="00AC4A0D" w:rsidP="00AC4A0D">
      <w:pPr>
        <w:pStyle w:val="ListParagraph"/>
        <w:numPr>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spacing w:after="0" w:line="240" w:lineRule="auto"/>
        <w:ind w:left="0" w:firstLine="567"/>
        <w:rPr>
          <w:rFonts w:ascii="Times New Roman" w:hAnsi="Times New Roman"/>
          <w:color w:val="000000"/>
          <w:sz w:val="28"/>
          <w:szCs w:val="28"/>
          <w:shd w:val="clear" w:color="auto" w:fill="FFFFFF"/>
        </w:rPr>
      </w:pPr>
      <w:r w:rsidRPr="00AC4A0D" w:rsidR="002B6422">
        <w:rPr>
          <w:rFonts w:ascii="Times New Roman" w:hAnsi="Times New Roman"/>
          <w:color w:val="000000"/>
          <w:sz w:val="28"/>
          <w:szCs w:val="28"/>
          <w:shd w:val="clear" w:color="auto" w:fill="FFFFFF"/>
        </w:rPr>
        <w:t xml:space="preserve">   в</w:t>
      </w:r>
      <w:r w:rsidRPr="00AC4A0D">
        <w:rPr>
          <w:rFonts w:ascii="Times New Roman" w:hAnsi="Times New Roman"/>
          <w:color w:val="000000"/>
          <w:sz w:val="28"/>
          <w:szCs w:val="28"/>
          <w:shd w:val="clear" w:color="auto" w:fill="FFFFFF"/>
        </w:rPr>
        <w:t>становлення порядку та підстав звільнення від відповідальності учасників антиконкурентних узгоджених дій</w:t>
      </w:r>
      <w:r w:rsidRPr="00AC4A0D" w:rsidR="002B6422">
        <w:rPr>
          <w:rFonts w:ascii="Times New Roman" w:hAnsi="Times New Roman"/>
          <w:color w:val="000000"/>
          <w:sz w:val="28"/>
          <w:szCs w:val="28"/>
          <w:shd w:val="clear" w:color="auto" w:fill="FFFFFF"/>
        </w:rPr>
        <w:t xml:space="preserve"> </w:t>
      </w:r>
      <w:r w:rsidRPr="00AC4A0D">
        <w:rPr>
          <w:rFonts w:ascii="Times New Roman" w:hAnsi="Times New Roman"/>
          <w:color w:val="000000"/>
          <w:sz w:val="28"/>
          <w:szCs w:val="28"/>
          <w:shd w:val="clear" w:color="auto" w:fill="FFFFFF"/>
        </w:rPr>
        <w:t>у разі їх добровільного звернення до Комітету (</w:t>
      </w:r>
      <w:r w:rsidRPr="00AC4A0D" w:rsidR="00261D43">
        <w:rPr>
          <w:rFonts w:ascii="Times New Roman" w:hAnsi="Times New Roman"/>
          <w:color w:val="000000"/>
          <w:sz w:val="28"/>
          <w:szCs w:val="28"/>
          <w:shd w:val="clear" w:color="auto" w:fill="FFFFFF"/>
          <w:lang w:val="en-GB"/>
        </w:rPr>
        <w:t>leniency</w:t>
      </w:r>
      <w:r w:rsidRPr="00AC4A0D">
        <w:rPr>
          <w:rFonts w:ascii="Times New Roman" w:hAnsi="Times New Roman"/>
          <w:color w:val="000000"/>
          <w:sz w:val="28"/>
          <w:szCs w:val="28"/>
          <w:shd w:val="clear" w:color="auto" w:fill="FFFFFF"/>
        </w:rPr>
        <w:t>)</w:t>
      </w:r>
      <w:r w:rsidRPr="00AC4A0D" w:rsidR="002B6422">
        <w:rPr>
          <w:rFonts w:ascii="Times New Roman" w:hAnsi="Times New Roman"/>
          <w:color w:val="000000"/>
          <w:sz w:val="28"/>
          <w:szCs w:val="28"/>
          <w:shd w:val="clear" w:color="auto" w:fill="FFFFFF"/>
        </w:rPr>
        <w:t>;</w:t>
      </w:r>
    </w:p>
    <w:p w:rsidR="00142F37" w:rsidRPr="00AC4A0D" w:rsidP="00AC4A0D">
      <w:pPr>
        <w:pStyle w:val="ListParagraph"/>
        <w:numPr>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8848"/>
        </w:tabs>
        <w:bidi w:val="0"/>
        <w:spacing w:after="0" w:line="240" w:lineRule="auto"/>
        <w:ind w:left="0" w:firstLine="567"/>
        <w:rPr>
          <w:rFonts w:ascii="Times New Roman" w:hAnsi="Times New Roman"/>
          <w:color w:val="000000"/>
          <w:sz w:val="28"/>
          <w:szCs w:val="28"/>
          <w:shd w:val="clear" w:color="auto" w:fill="FFFFFF"/>
        </w:rPr>
      </w:pPr>
      <w:r w:rsidRPr="00AC4A0D" w:rsidR="002B6422">
        <w:rPr>
          <w:rFonts w:ascii="Times New Roman" w:hAnsi="Times New Roman"/>
          <w:color w:val="000000"/>
          <w:sz w:val="28"/>
          <w:szCs w:val="28"/>
          <w:shd w:val="clear" w:color="auto" w:fill="FFFFFF"/>
        </w:rPr>
        <w:t xml:space="preserve">   судова реформа у сфері конкуренції, яка передбачає утворення спеціалізованого суду у сфері конкуренції;</w:t>
      </w:r>
    </w:p>
    <w:p w:rsidR="00FE398C" w:rsidRPr="00AC4A0D" w:rsidP="00AC4A0D">
      <w:pPr>
        <w:pStyle w:val="ListParagraph"/>
        <w:numPr>
          <w:numId w:val="11"/>
        </w:numPr>
        <w:bidi w:val="0"/>
        <w:spacing w:after="0" w:line="240" w:lineRule="auto"/>
        <w:ind w:left="0" w:firstLine="567"/>
        <w:jc w:val="both"/>
        <w:rPr>
          <w:rFonts w:ascii="Times New Roman" w:hAnsi="Times New Roman"/>
          <w:sz w:val="28"/>
          <w:szCs w:val="28"/>
        </w:rPr>
      </w:pPr>
      <w:r w:rsidRPr="00AC4A0D" w:rsidR="00E15F8C">
        <w:rPr>
          <w:rFonts w:ascii="Times New Roman" w:hAnsi="Times New Roman"/>
          <w:sz w:val="28"/>
          <w:szCs w:val="28"/>
        </w:rPr>
        <w:t>надання рівних повноважень щодо накладання штрафів за порушення конкуренційного законодавства колегіальними органами Ан</w:t>
      </w:r>
      <w:r w:rsidRPr="00AC4A0D" w:rsidR="002B6422">
        <w:rPr>
          <w:rFonts w:ascii="Times New Roman" w:hAnsi="Times New Roman"/>
          <w:sz w:val="28"/>
          <w:szCs w:val="28"/>
        </w:rPr>
        <w:t>тимонопольного комітету України;</w:t>
      </w:r>
    </w:p>
    <w:p w:rsidR="002B6422" w:rsidRPr="00AC4A0D" w:rsidP="00AC4A0D">
      <w:pPr>
        <w:pStyle w:val="ListParagraph"/>
        <w:numPr>
          <w:numId w:val="11"/>
        </w:numPr>
        <w:bidi w:val="0"/>
        <w:spacing w:after="0" w:line="240" w:lineRule="auto"/>
        <w:ind w:left="0" w:firstLine="567"/>
        <w:jc w:val="both"/>
        <w:rPr>
          <w:rFonts w:ascii="Times New Roman" w:hAnsi="Times New Roman"/>
          <w:sz w:val="28"/>
          <w:szCs w:val="28"/>
        </w:rPr>
      </w:pPr>
      <w:r w:rsidRPr="00AC4A0D">
        <w:rPr>
          <w:rFonts w:ascii="Times New Roman" w:hAnsi="Times New Roman"/>
          <w:sz w:val="28"/>
          <w:szCs w:val="28"/>
        </w:rPr>
        <w:t>надання рішенню органів Антимонопольного комітету України статусу виконавчого документу та скасування пені за несвоєчасну сплату штрафу</w:t>
      </w:r>
      <w:r w:rsidRPr="00AC4A0D">
        <w:rPr>
          <w:rFonts w:ascii="Times New Roman" w:hAnsi="Times New Roman"/>
          <w:sz w:val="28"/>
          <w:szCs w:val="28"/>
        </w:rPr>
        <w:t>.</w:t>
      </w:r>
    </w:p>
    <w:p w:rsidR="001C396A" w:rsidRPr="00AC4A0D" w:rsidP="00AC4A0D">
      <w:pPr>
        <w:pStyle w:val="ListParagraph"/>
        <w:numPr>
          <w:numId w:val="11"/>
        </w:numPr>
        <w:bidi w:val="0"/>
        <w:spacing w:after="0" w:line="240" w:lineRule="auto"/>
        <w:ind w:left="0" w:firstLine="567"/>
        <w:jc w:val="both"/>
        <w:rPr>
          <w:rFonts w:ascii="Times New Roman" w:hAnsi="Times New Roman"/>
          <w:sz w:val="28"/>
          <w:szCs w:val="28"/>
        </w:rPr>
      </w:pPr>
      <w:r w:rsidRPr="00AC4A0D">
        <w:rPr>
          <w:rFonts w:ascii="Times New Roman" w:hAnsi="Times New Roman"/>
          <w:bCs/>
          <w:sz w:val="28"/>
          <w:szCs w:val="28"/>
        </w:rPr>
        <w:t>удосконалення поняття групи суб’єктів господарювання та встановлення солідарної відповідальності за сплату штрафу для юридичних та/або фізичних осіб – суб’єктів господарювання, які входять до групи суб’єктів господарювання та вчинили порушення законодавства про захист економічної конкуренції</w:t>
      </w:r>
      <w:r w:rsidRPr="00AC4A0D">
        <w:rPr>
          <w:rFonts w:ascii="Times New Roman" w:hAnsi="Times New Roman"/>
          <w:bCs/>
          <w:sz w:val="28"/>
          <w:szCs w:val="28"/>
        </w:rPr>
        <w:t>.</w:t>
      </w:r>
    </w:p>
    <w:p w:rsidR="001C396A" w:rsidRPr="00AC4A0D" w:rsidP="00AC4A0D">
      <w:pPr>
        <w:pStyle w:val="ListParagraph"/>
        <w:numPr>
          <w:numId w:val="11"/>
        </w:numPr>
        <w:bidi w:val="0"/>
        <w:spacing w:after="0" w:line="240" w:lineRule="auto"/>
        <w:ind w:left="0" w:firstLine="567"/>
        <w:jc w:val="both"/>
        <w:rPr>
          <w:rFonts w:ascii="Times New Roman" w:hAnsi="Times New Roman"/>
          <w:sz w:val="28"/>
          <w:szCs w:val="28"/>
        </w:rPr>
      </w:pPr>
      <w:r w:rsidRPr="00AC4A0D">
        <w:rPr>
          <w:rFonts w:ascii="Times New Roman" w:hAnsi="Times New Roman"/>
          <w:bCs/>
          <w:sz w:val="28"/>
          <w:szCs w:val="28"/>
        </w:rPr>
        <w:t>Введення нового об’єкту концентрації – земельної ділянки сільськогосподарського призначення.</w:t>
      </w:r>
      <w:r w:rsidRPr="00AC4A0D">
        <w:rPr>
          <w:rFonts w:ascii="Times New Roman" w:hAnsi="Times New Roman"/>
          <w:sz w:val="28"/>
          <w:szCs w:val="28"/>
        </w:rPr>
        <w:t xml:space="preserve"> </w:t>
      </w:r>
      <w:r w:rsidRPr="00AC4A0D">
        <w:rPr>
          <w:rFonts w:ascii="Times New Roman" w:hAnsi="Times New Roman"/>
          <w:bCs/>
          <w:sz w:val="28"/>
          <w:szCs w:val="28"/>
        </w:rPr>
        <w:t>Узгодження випадків, в яких необхідне отримання дозволу на концентрацію суб'єктів господарювання із запровадженням нового об’єкту концентрації.</w:t>
      </w:r>
    </w:p>
    <w:p w:rsidR="001C396A" w:rsidRPr="00AC4A0D" w:rsidP="00AC4A0D">
      <w:pPr>
        <w:pStyle w:val="ListParagraph"/>
        <w:numPr>
          <w:numId w:val="11"/>
        </w:numPr>
        <w:bidi w:val="0"/>
        <w:spacing w:after="0" w:line="240" w:lineRule="auto"/>
        <w:ind w:left="0" w:firstLine="567"/>
        <w:jc w:val="both"/>
        <w:rPr>
          <w:rFonts w:ascii="Times New Roman" w:hAnsi="Times New Roman"/>
          <w:sz w:val="28"/>
          <w:szCs w:val="28"/>
        </w:rPr>
      </w:pPr>
      <w:r w:rsidRPr="00AC4A0D" w:rsidR="00AC4A0D">
        <w:rPr>
          <w:rFonts w:ascii="Times New Roman" w:hAnsi="Times New Roman"/>
          <w:bCs/>
          <w:sz w:val="28"/>
          <w:szCs w:val="28"/>
        </w:rPr>
        <w:t>Підвищення ефективності Антимонопольного комітету України.</w:t>
      </w:r>
    </w:p>
    <w:p w:rsidR="00AC4A0D" w:rsidRPr="00AC4A0D" w:rsidP="00AC4A0D">
      <w:pPr>
        <w:pStyle w:val="ListParagraph"/>
        <w:numPr>
          <w:numId w:val="11"/>
        </w:numPr>
        <w:bidi w:val="0"/>
        <w:spacing w:after="0" w:line="240" w:lineRule="auto"/>
        <w:ind w:left="0" w:firstLine="567"/>
        <w:jc w:val="both"/>
        <w:rPr>
          <w:rFonts w:ascii="Times New Roman" w:hAnsi="Times New Roman"/>
          <w:sz w:val="28"/>
          <w:szCs w:val="28"/>
        </w:rPr>
      </w:pPr>
      <w:r w:rsidRPr="00AC4A0D">
        <w:rPr>
          <w:rFonts w:ascii="Times New Roman" w:hAnsi="Times New Roman"/>
          <w:bCs/>
          <w:sz w:val="28"/>
          <w:szCs w:val="28"/>
        </w:rPr>
        <w:t>Усунення подвійності регулювання деяких видів узгоджених дій (так зв. вертикальних узгоджених дій) положеннями Закону</w:t>
      </w:r>
      <w:r w:rsidRPr="00AC4A0D">
        <w:rPr>
          <w:rFonts w:ascii="Times New Roman" w:hAnsi="Times New Roman"/>
          <w:bCs/>
          <w:sz w:val="28"/>
          <w:szCs w:val="28"/>
        </w:rPr>
        <w:t>.</w:t>
      </w:r>
    </w:p>
    <w:p w:rsidR="00AC4A0D" w:rsidRPr="00AC4A0D" w:rsidP="00AC4A0D">
      <w:pPr>
        <w:bidi w:val="0"/>
        <w:rPr>
          <w:rFonts w:ascii="Times New Roman" w:hAnsi="Times New Roman"/>
          <w:sz w:val="28"/>
          <w:szCs w:val="28"/>
        </w:rPr>
      </w:pPr>
    </w:p>
    <w:p w:rsidR="007903BE" w:rsidRPr="00AC4A0D" w:rsidP="00AC4A0D">
      <w:pPr>
        <w:pStyle w:val="BodyTextIndent3"/>
        <w:widowControl w:val="0"/>
        <w:bidi w:val="0"/>
        <w:jc w:val="both"/>
        <w:rPr>
          <w:rFonts w:ascii="Times New Roman" w:hAnsi="Times New Roman"/>
          <w:sz w:val="28"/>
          <w:szCs w:val="28"/>
          <w:lang w:val="uk-UA"/>
        </w:rPr>
      </w:pPr>
      <w:r w:rsidRPr="00AC4A0D">
        <w:rPr>
          <w:rFonts w:ascii="Times New Roman" w:hAnsi="Times New Roman"/>
          <w:b/>
          <w:bCs/>
          <w:sz w:val="28"/>
          <w:szCs w:val="28"/>
          <w:lang w:val="uk-UA"/>
        </w:rPr>
        <w:t>3. Правові аспекти</w:t>
      </w:r>
      <w:r w:rsidRPr="00AC4A0D">
        <w:rPr>
          <w:rFonts w:ascii="Times New Roman" w:hAnsi="Times New Roman"/>
          <w:sz w:val="28"/>
          <w:szCs w:val="28"/>
          <w:lang w:val="uk-UA"/>
        </w:rPr>
        <w:t xml:space="preserve"> </w:t>
      </w:r>
    </w:p>
    <w:p w:rsidR="007903BE" w:rsidRPr="00AC4A0D" w:rsidP="00AC4A0D">
      <w:pPr>
        <w:widowControl w:val="0"/>
        <w:bidi w:val="0"/>
        <w:ind w:firstLine="709"/>
        <w:rPr>
          <w:rFonts w:ascii="Times New Roman" w:hAnsi="Times New Roman"/>
          <w:sz w:val="28"/>
          <w:szCs w:val="28"/>
        </w:rPr>
      </w:pPr>
      <w:r w:rsidRPr="00AC4A0D">
        <w:rPr>
          <w:rFonts w:ascii="Times New Roman" w:hAnsi="Times New Roman"/>
          <w:sz w:val="28"/>
          <w:szCs w:val="28"/>
        </w:rPr>
        <w:t xml:space="preserve">У цій сфері правового регулювання діють такі Закони України: </w:t>
      </w:r>
    </w:p>
    <w:p w:rsidR="007903BE" w:rsidRPr="00AC4A0D" w:rsidP="00AC4A0D">
      <w:pPr>
        <w:widowControl w:val="0"/>
        <w:bidi w:val="0"/>
        <w:ind w:firstLine="0"/>
        <w:rPr>
          <w:rFonts w:ascii="Times New Roman" w:hAnsi="Times New Roman"/>
          <w:sz w:val="28"/>
          <w:szCs w:val="28"/>
        </w:rPr>
      </w:pPr>
      <w:r w:rsidRPr="00AC4A0D">
        <w:rPr>
          <w:rFonts w:ascii="Times New Roman" w:hAnsi="Times New Roman"/>
          <w:sz w:val="28"/>
          <w:szCs w:val="28"/>
        </w:rPr>
        <w:t xml:space="preserve"> «Про Антимонопольний комітет України»;</w:t>
      </w:r>
    </w:p>
    <w:p w:rsidR="00BD210F" w:rsidRPr="00AC4A0D" w:rsidP="00AC4A0D">
      <w:pPr>
        <w:widowControl w:val="0"/>
        <w:bidi w:val="0"/>
        <w:ind w:firstLine="0"/>
        <w:rPr>
          <w:rFonts w:ascii="Times New Roman" w:hAnsi="Times New Roman"/>
          <w:sz w:val="28"/>
          <w:szCs w:val="28"/>
        </w:rPr>
      </w:pPr>
      <w:r w:rsidRPr="00AC4A0D" w:rsidR="007903BE">
        <w:rPr>
          <w:rFonts w:ascii="Times New Roman" w:hAnsi="Times New Roman"/>
          <w:sz w:val="28"/>
          <w:szCs w:val="28"/>
        </w:rPr>
        <w:t xml:space="preserve"> «Про захист економічної ко</w:t>
      </w:r>
      <w:r w:rsidRPr="00AC4A0D" w:rsidR="00E15F8C">
        <w:rPr>
          <w:rFonts w:ascii="Times New Roman" w:hAnsi="Times New Roman"/>
          <w:sz w:val="28"/>
          <w:szCs w:val="28"/>
        </w:rPr>
        <w:t>нкуренції»</w:t>
      </w:r>
      <w:r w:rsidRPr="00AC4A0D">
        <w:rPr>
          <w:rFonts w:ascii="Times New Roman" w:hAnsi="Times New Roman"/>
          <w:sz w:val="28"/>
          <w:szCs w:val="28"/>
        </w:rPr>
        <w:t>;</w:t>
      </w:r>
    </w:p>
    <w:p w:rsidR="00BD210F" w:rsidRPr="00AC4A0D" w:rsidP="00AC4A0D">
      <w:pPr>
        <w:widowControl w:val="0"/>
        <w:bidi w:val="0"/>
        <w:ind w:firstLine="0"/>
        <w:rPr>
          <w:rFonts w:ascii="Times New Roman" w:hAnsi="Times New Roman"/>
          <w:sz w:val="28"/>
          <w:szCs w:val="28"/>
        </w:rPr>
      </w:pPr>
      <w:r w:rsidRPr="00AC4A0D">
        <w:rPr>
          <w:rFonts w:ascii="Times New Roman" w:hAnsi="Times New Roman"/>
          <w:sz w:val="28"/>
          <w:szCs w:val="28"/>
        </w:rPr>
        <w:t>«Про Кабінет Міністрів України»;</w:t>
      </w:r>
    </w:p>
    <w:p w:rsidR="00BD210F" w:rsidRPr="00AC4A0D" w:rsidP="00AC4A0D">
      <w:pPr>
        <w:widowControl w:val="0"/>
        <w:bidi w:val="0"/>
        <w:ind w:firstLine="0"/>
        <w:rPr>
          <w:rFonts w:ascii="Times New Roman" w:hAnsi="Times New Roman"/>
          <w:bCs/>
          <w:color w:val="000000"/>
          <w:sz w:val="28"/>
          <w:szCs w:val="28"/>
          <w:shd w:val="clear" w:color="auto" w:fill="FFFFFF"/>
        </w:rPr>
      </w:pPr>
      <w:r w:rsidRPr="00AC4A0D">
        <w:rPr>
          <w:rFonts w:ascii="Times New Roman" w:hAnsi="Times New Roman"/>
          <w:bCs/>
          <w:color w:val="000000"/>
          <w:sz w:val="28"/>
          <w:szCs w:val="28"/>
          <w:shd w:val="clear" w:color="auto" w:fill="FFFFFF"/>
        </w:rPr>
        <w:t>«Про державну допомогу суб’єктам господарювання»</w:t>
      </w:r>
      <w:r w:rsidRPr="00AC4A0D">
        <w:rPr>
          <w:rFonts w:ascii="Times New Roman" w:hAnsi="Times New Roman"/>
          <w:bCs/>
          <w:color w:val="000000"/>
          <w:sz w:val="28"/>
          <w:szCs w:val="28"/>
          <w:shd w:val="clear" w:color="auto" w:fill="FFFFFF"/>
        </w:rPr>
        <w:t>;</w:t>
      </w:r>
    </w:p>
    <w:p w:rsidR="00BD210F" w:rsidRPr="00AC4A0D" w:rsidP="00AC4A0D">
      <w:pPr>
        <w:widowControl w:val="0"/>
        <w:bidi w:val="0"/>
        <w:ind w:firstLine="0"/>
        <w:rPr>
          <w:rFonts w:ascii="Times New Roman" w:hAnsi="Times New Roman"/>
          <w:bCs/>
          <w:sz w:val="28"/>
          <w:szCs w:val="28"/>
        </w:rPr>
      </w:pPr>
      <w:r w:rsidRPr="00AC4A0D">
        <w:rPr>
          <w:rFonts w:ascii="Times New Roman" w:hAnsi="Times New Roman"/>
          <w:bCs/>
          <w:sz w:val="28"/>
          <w:szCs w:val="28"/>
        </w:rPr>
        <w:t>«Про центральні органи виконавчої влади»</w:t>
      </w:r>
      <w:r w:rsidRPr="00AC4A0D">
        <w:rPr>
          <w:rFonts w:ascii="Times New Roman" w:hAnsi="Times New Roman"/>
          <w:bCs/>
          <w:sz w:val="28"/>
          <w:szCs w:val="28"/>
        </w:rPr>
        <w:t>;</w:t>
      </w:r>
    </w:p>
    <w:p w:rsidR="00BD210F" w:rsidRPr="00AC4A0D" w:rsidP="00AC4A0D">
      <w:pPr>
        <w:widowControl w:val="0"/>
        <w:bidi w:val="0"/>
        <w:ind w:firstLine="0"/>
        <w:rPr>
          <w:rFonts w:ascii="Times New Roman" w:hAnsi="Times New Roman"/>
          <w:kern w:val="36"/>
          <w:sz w:val="28"/>
          <w:szCs w:val="28"/>
        </w:rPr>
      </w:pPr>
      <w:r w:rsidRPr="00AC4A0D">
        <w:rPr>
          <w:rFonts w:ascii="Times New Roman" w:hAnsi="Times New Roman"/>
          <w:kern w:val="36"/>
          <w:sz w:val="28"/>
          <w:szCs w:val="28"/>
        </w:rPr>
        <w:t>Господарський процесуальний кодекс</w:t>
      </w:r>
      <w:r w:rsidRPr="00AC4A0D">
        <w:rPr>
          <w:rFonts w:ascii="Times New Roman" w:hAnsi="Times New Roman"/>
          <w:kern w:val="36"/>
          <w:sz w:val="28"/>
          <w:szCs w:val="28"/>
        </w:rPr>
        <w:t>;</w:t>
      </w:r>
    </w:p>
    <w:p w:rsidR="007903BE" w:rsidRPr="00AC4A0D" w:rsidP="00AC4A0D">
      <w:pPr>
        <w:widowControl w:val="0"/>
        <w:bidi w:val="0"/>
        <w:ind w:firstLine="0"/>
        <w:rPr>
          <w:rFonts w:ascii="Times New Roman" w:hAnsi="Times New Roman"/>
          <w:sz w:val="28"/>
          <w:szCs w:val="28"/>
        </w:rPr>
      </w:pPr>
      <w:r w:rsidRPr="00AC4A0D" w:rsidR="00BD210F">
        <w:rPr>
          <w:rFonts w:ascii="Times New Roman" w:hAnsi="Times New Roman"/>
          <w:sz w:val="28"/>
          <w:szCs w:val="28"/>
        </w:rPr>
        <w:t>«Про внесення змін до Кодексу України про адміністративні правопорушення»</w:t>
      </w:r>
      <w:r w:rsidRPr="00AC4A0D" w:rsidR="00E15F8C">
        <w:rPr>
          <w:rFonts w:ascii="Times New Roman" w:hAnsi="Times New Roman"/>
          <w:sz w:val="28"/>
          <w:szCs w:val="28"/>
        </w:rPr>
        <w:t>.</w:t>
      </w:r>
    </w:p>
    <w:p w:rsidR="00653A5A" w:rsidRPr="00AC4A0D" w:rsidP="00AC4A0D">
      <w:pPr>
        <w:widowControl w:val="0"/>
        <w:bidi w:val="0"/>
        <w:ind w:firstLine="0"/>
        <w:rPr>
          <w:rFonts w:ascii="Times New Roman" w:hAnsi="Times New Roman"/>
          <w:sz w:val="28"/>
          <w:szCs w:val="28"/>
        </w:rPr>
      </w:pPr>
    </w:p>
    <w:p w:rsidR="007903BE" w:rsidRPr="00AC4A0D" w:rsidP="00AC4A0D">
      <w:pPr>
        <w:widowControl w:val="0"/>
        <w:bidi w:val="0"/>
        <w:ind w:firstLine="709"/>
        <w:rPr>
          <w:rFonts w:ascii="Times New Roman" w:hAnsi="Times New Roman"/>
          <w:b/>
          <w:bCs/>
          <w:sz w:val="28"/>
          <w:szCs w:val="28"/>
          <w:u w:val="single"/>
        </w:rPr>
      </w:pPr>
      <w:r w:rsidRPr="00AC4A0D">
        <w:rPr>
          <w:rFonts w:ascii="Times New Roman" w:hAnsi="Times New Roman"/>
          <w:b/>
          <w:bCs/>
          <w:sz w:val="28"/>
          <w:szCs w:val="28"/>
        </w:rPr>
        <w:t>4. Фінансово-економічне обґрунтування</w:t>
      </w:r>
    </w:p>
    <w:p w:rsidR="007903BE" w:rsidRPr="00AC4A0D" w:rsidP="00AC4A0D">
      <w:pPr>
        <w:pStyle w:val="a5"/>
        <w:widowControl w:val="0"/>
        <w:bidi w:val="0"/>
        <w:spacing w:before="0" w:beforeAutospacing="0" w:after="0" w:afterAutospacing="0"/>
        <w:ind w:firstLine="709"/>
        <w:jc w:val="both"/>
        <w:rPr>
          <w:rFonts w:ascii="Times New Roman" w:hAnsi="Times New Roman"/>
          <w:sz w:val="28"/>
          <w:szCs w:val="28"/>
          <w:lang w:val="uk-UA"/>
        </w:rPr>
      </w:pPr>
      <w:r w:rsidRPr="00AC4A0D">
        <w:rPr>
          <w:rFonts w:ascii="Times New Roman" w:hAnsi="Times New Roman"/>
          <w:sz w:val="28"/>
          <w:szCs w:val="28"/>
          <w:lang w:val="uk-UA"/>
        </w:rPr>
        <w:t xml:space="preserve">Реалізація </w:t>
      </w:r>
      <w:r w:rsidRPr="00AC4A0D" w:rsidR="00945BAF">
        <w:rPr>
          <w:rFonts w:ascii="Times New Roman" w:hAnsi="Times New Roman"/>
          <w:sz w:val="28"/>
          <w:szCs w:val="28"/>
          <w:lang w:val="uk-UA"/>
        </w:rPr>
        <w:t>законопроекту</w:t>
      </w:r>
      <w:r w:rsidRPr="00AC4A0D">
        <w:rPr>
          <w:rFonts w:ascii="Times New Roman" w:hAnsi="Times New Roman"/>
          <w:sz w:val="28"/>
          <w:szCs w:val="28"/>
          <w:lang w:val="uk-UA"/>
        </w:rPr>
        <w:t xml:space="preserve"> не потребуватиме додаткових витрат з державного бюджету.</w:t>
      </w:r>
    </w:p>
    <w:p w:rsidR="00AC4A0D" w:rsidRPr="00AC4A0D" w:rsidP="00AC4A0D">
      <w:pPr>
        <w:pStyle w:val="a5"/>
        <w:widowControl w:val="0"/>
        <w:bidi w:val="0"/>
        <w:spacing w:before="0" w:beforeAutospacing="0" w:after="0" w:afterAutospacing="0"/>
        <w:ind w:firstLine="709"/>
        <w:jc w:val="both"/>
        <w:rPr>
          <w:rFonts w:ascii="Times New Roman" w:hAnsi="Times New Roman"/>
          <w:sz w:val="28"/>
          <w:szCs w:val="28"/>
          <w:lang w:val="uk-UA"/>
        </w:rPr>
      </w:pPr>
    </w:p>
    <w:p w:rsidR="007903BE" w:rsidRPr="00AC4A0D" w:rsidP="00AC4A0D">
      <w:pPr>
        <w:widowControl w:val="0"/>
        <w:bidi w:val="0"/>
        <w:ind w:firstLine="709"/>
        <w:rPr>
          <w:rFonts w:ascii="Times New Roman" w:hAnsi="Times New Roman"/>
          <w:b/>
          <w:bCs/>
          <w:sz w:val="28"/>
          <w:szCs w:val="28"/>
        </w:rPr>
      </w:pPr>
      <w:r w:rsidRPr="00AC4A0D" w:rsidR="007D142D">
        <w:rPr>
          <w:rFonts w:ascii="Times New Roman" w:hAnsi="Times New Roman"/>
          <w:b/>
          <w:bCs/>
          <w:sz w:val="28"/>
          <w:szCs w:val="28"/>
        </w:rPr>
        <w:t>5</w:t>
      </w:r>
      <w:r w:rsidRPr="00AC4A0D">
        <w:rPr>
          <w:rFonts w:ascii="Times New Roman" w:hAnsi="Times New Roman"/>
          <w:b/>
          <w:bCs/>
          <w:sz w:val="28"/>
          <w:szCs w:val="28"/>
        </w:rPr>
        <w:t>. Запобігання корупції</w:t>
      </w:r>
    </w:p>
    <w:p w:rsidR="00D90D37" w:rsidRPr="00AC4A0D" w:rsidP="00AC4A0D">
      <w:pPr>
        <w:widowControl w:val="0"/>
        <w:bidi w:val="0"/>
        <w:ind w:firstLine="709"/>
        <w:rPr>
          <w:rFonts w:ascii="Times New Roman" w:hAnsi="Times New Roman"/>
          <w:sz w:val="28"/>
          <w:szCs w:val="28"/>
        </w:rPr>
      </w:pPr>
      <w:r w:rsidRPr="00AC4A0D" w:rsidR="00945BAF">
        <w:rPr>
          <w:rFonts w:ascii="Times New Roman" w:hAnsi="Times New Roman"/>
          <w:sz w:val="28"/>
          <w:szCs w:val="28"/>
        </w:rPr>
        <w:t>Законопроект</w:t>
      </w:r>
      <w:r w:rsidRPr="00AC4A0D" w:rsidR="007903BE">
        <w:rPr>
          <w:rFonts w:ascii="Times New Roman" w:hAnsi="Times New Roman"/>
          <w:sz w:val="28"/>
          <w:szCs w:val="28"/>
        </w:rPr>
        <w:t xml:space="preserve"> не містить правил і процедур, що можуть становити ризики вчинення корупційних правопорушень.</w:t>
      </w:r>
    </w:p>
    <w:p w:rsidR="00AC4A0D" w:rsidRPr="00AC4A0D" w:rsidP="00AC4A0D">
      <w:pPr>
        <w:widowControl w:val="0"/>
        <w:bidi w:val="0"/>
        <w:ind w:firstLine="709"/>
        <w:rPr>
          <w:rFonts w:ascii="Times New Roman" w:hAnsi="Times New Roman"/>
          <w:sz w:val="28"/>
          <w:szCs w:val="28"/>
        </w:rPr>
      </w:pPr>
    </w:p>
    <w:p w:rsidR="007903BE" w:rsidRPr="00AC4A0D" w:rsidP="00AC4A0D">
      <w:pPr>
        <w:widowControl w:val="0"/>
        <w:bidi w:val="0"/>
        <w:ind w:firstLine="709"/>
        <w:rPr>
          <w:rFonts w:ascii="Times New Roman" w:hAnsi="Times New Roman"/>
          <w:sz w:val="28"/>
          <w:szCs w:val="28"/>
        </w:rPr>
      </w:pPr>
      <w:r w:rsidRPr="00AC4A0D" w:rsidR="00E15F8C">
        <w:rPr>
          <w:rFonts w:ascii="Times New Roman" w:hAnsi="Times New Roman"/>
          <w:b/>
          <w:bCs/>
          <w:sz w:val="28"/>
          <w:szCs w:val="28"/>
        </w:rPr>
        <w:t>6</w:t>
      </w:r>
      <w:r w:rsidRPr="00AC4A0D">
        <w:rPr>
          <w:rFonts w:ascii="Times New Roman" w:hAnsi="Times New Roman"/>
          <w:b/>
          <w:bCs/>
          <w:sz w:val="28"/>
          <w:szCs w:val="28"/>
        </w:rPr>
        <w:t>. Прогноз результатів</w:t>
      </w:r>
    </w:p>
    <w:p w:rsidR="004B7A2E" w:rsidRPr="00AC4A0D" w:rsidP="00AC4A0D">
      <w:pPr>
        <w:widowControl w:val="0"/>
        <w:bidi w:val="0"/>
        <w:ind w:firstLine="709"/>
        <w:rPr>
          <w:rFonts w:ascii="Times New Roman" w:hAnsi="Times New Roman"/>
          <w:sz w:val="28"/>
          <w:szCs w:val="28"/>
        </w:rPr>
      </w:pPr>
      <w:r w:rsidRPr="00AC4A0D" w:rsidR="007903BE">
        <w:rPr>
          <w:rFonts w:ascii="Times New Roman" w:hAnsi="Times New Roman"/>
          <w:sz w:val="28"/>
          <w:szCs w:val="28"/>
        </w:rPr>
        <w:t xml:space="preserve">Прийняття </w:t>
      </w:r>
      <w:r w:rsidRPr="00AC4A0D" w:rsidR="00945BAF">
        <w:rPr>
          <w:rFonts w:ascii="Times New Roman" w:hAnsi="Times New Roman"/>
          <w:sz w:val="28"/>
          <w:szCs w:val="28"/>
        </w:rPr>
        <w:t>законопроекту</w:t>
      </w:r>
      <w:r w:rsidRPr="00AC4A0D" w:rsidR="007903BE">
        <w:rPr>
          <w:rFonts w:ascii="Times New Roman" w:hAnsi="Times New Roman"/>
          <w:sz w:val="28"/>
          <w:szCs w:val="28"/>
        </w:rPr>
        <w:t xml:space="preserve"> </w:t>
      </w:r>
      <w:r w:rsidRPr="00AC4A0D" w:rsidR="00567B19">
        <w:rPr>
          <w:rFonts w:ascii="Times New Roman" w:hAnsi="Times New Roman"/>
          <w:sz w:val="28"/>
          <w:szCs w:val="28"/>
        </w:rPr>
        <w:t>дозволить</w:t>
      </w:r>
      <w:r w:rsidRPr="00AC4A0D" w:rsidR="00BB207F">
        <w:rPr>
          <w:rFonts w:ascii="Times New Roman" w:hAnsi="Times New Roman"/>
          <w:sz w:val="28"/>
          <w:szCs w:val="28"/>
        </w:rPr>
        <w:t xml:space="preserve">: </w:t>
      </w:r>
    </w:p>
    <w:p w:rsidR="004B7A2E" w:rsidRPr="00AC4A0D" w:rsidP="00AC4A0D">
      <w:pPr>
        <w:widowControl w:val="0"/>
        <w:bidi w:val="0"/>
        <w:ind w:firstLine="709"/>
        <w:rPr>
          <w:rFonts w:ascii="Times New Roman" w:hAnsi="Times New Roman"/>
          <w:sz w:val="28"/>
          <w:szCs w:val="28"/>
        </w:rPr>
      </w:pPr>
      <w:r w:rsidRPr="00AC4A0D">
        <w:rPr>
          <w:rFonts w:ascii="Times New Roman" w:hAnsi="Times New Roman"/>
          <w:sz w:val="28"/>
          <w:szCs w:val="28"/>
        </w:rPr>
        <w:t xml:space="preserve">- </w:t>
      </w:r>
      <w:r w:rsidRPr="00AC4A0D" w:rsidR="00BB207F">
        <w:rPr>
          <w:rFonts w:ascii="Times New Roman" w:hAnsi="Times New Roman"/>
          <w:sz w:val="28"/>
          <w:szCs w:val="28"/>
        </w:rPr>
        <w:t>забезпечити стрімкий розвиток державно-правових інститутів конкурен</w:t>
      </w:r>
      <w:r w:rsidRPr="00AC4A0D" w:rsidR="00AC4A0D">
        <w:rPr>
          <w:rFonts w:ascii="Times New Roman" w:hAnsi="Times New Roman"/>
          <w:sz w:val="28"/>
          <w:szCs w:val="28"/>
        </w:rPr>
        <w:t>тної</w:t>
      </w:r>
      <w:r w:rsidRPr="00AC4A0D" w:rsidR="00BB207F">
        <w:rPr>
          <w:rFonts w:ascii="Times New Roman" w:hAnsi="Times New Roman"/>
          <w:sz w:val="28"/>
          <w:szCs w:val="28"/>
        </w:rPr>
        <w:t xml:space="preserve"> політики і правозастосування шляхом покладення обов’язку розвитку конкуренції у соціально важливих галузях економіки, таких як енергетика, житлово-комунальне господарство, продукти харчування, ліки, транспорт, зв’язок</w:t>
      </w:r>
      <w:r w:rsidRPr="00AC4A0D" w:rsidR="00567B19">
        <w:rPr>
          <w:rFonts w:ascii="Times New Roman" w:hAnsi="Times New Roman"/>
          <w:sz w:val="28"/>
          <w:szCs w:val="28"/>
        </w:rPr>
        <w:t xml:space="preserve"> </w:t>
      </w:r>
      <w:r w:rsidRPr="00AC4A0D" w:rsidR="00BB207F">
        <w:rPr>
          <w:rFonts w:ascii="Times New Roman" w:hAnsi="Times New Roman"/>
          <w:sz w:val="28"/>
          <w:szCs w:val="28"/>
        </w:rPr>
        <w:t xml:space="preserve">на Кабінет Міністрів України та центральні органи виконавчої влади; </w:t>
      </w:r>
    </w:p>
    <w:p w:rsidR="004B7A2E" w:rsidRPr="00AC4A0D" w:rsidP="00AC4A0D">
      <w:pPr>
        <w:widowControl w:val="0"/>
        <w:bidi w:val="0"/>
        <w:ind w:firstLine="709"/>
        <w:rPr>
          <w:rFonts w:ascii="Times New Roman" w:hAnsi="Times New Roman"/>
          <w:sz w:val="28"/>
          <w:szCs w:val="28"/>
        </w:rPr>
      </w:pPr>
      <w:r w:rsidRPr="00AC4A0D">
        <w:rPr>
          <w:rFonts w:ascii="Times New Roman" w:hAnsi="Times New Roman"/>
          <w:sz w:val="28"/>
          <w:szCs w:val="28"/>
        </w:rPr>
        <w:t xml:space="preserve">- </w:t>
      </w:r>
      <w:r w:rsidRPr="00AC4A0D" w:rsidR="00BB207F">
        <w:rPr>
          <w:rFonts w:ascii="Times New Roman" w:hAnsi="Times New Roman"/>
          <w:sz w:val="28"/>
          <w:szCs w:val="28"/>
        </w:rPr>
        <w:t>суттєво</w:t>
      </w:r>
      <w:r w:rsidRPr="00AC4A0D" w:rsidR="00567B19">
        <w:rPr>
          <w:rFonts w:ascii="Times New Roman" w:hAnsi="Times New Roman"/>
          <w:sz w:val="28"/>
          <w:szCs w:val="28"/>
        </w:rPr>
        <w:t xml:space="preserve"> підвищити ефективність діяльності органів Антимонопольного комітету України</w:t>
      </w:r>
      <w:r w:rsidRPr="00AC4A0D" w:rsidR="00D07E55">
        <w:rPr>
          <w:rFonts w:ascii="Times New Roman" w:hAnsi="Times New Roman"/>
          <w:sz w:val="28"/>
          <w:szCs w:val="28"/>
        </w:rPr>
        <w:t xml:space="preserve"> </w:t>
      </w:r>
      <w:r w:rsidRPr="00AC4A0D" w:rsidR="00BB207F">
        <w:rPr>
          <w:rFonts w:ascii="Times New Roman" w:hAnsi="Times New Roman"/>
          <w:sz w:val="28"/>
          <w:szCs w:val="28"/>
        </w:rPr>
        <w:t>як у центрі, так і на місцях, зокрема, щодо посилення зв’язку з антиконкурентними узгодженими діями та зловживання монопольним становищем внаслідок розвитку проце</w:t>
      </w:r>
      <w:r w:rsidRPr="00AC4A0D">
        <w:rPr>
          <w:rFonts w:ascii="Times New Roman" w:hAnsi="Times New Roman"/>
          <w:sz w:val="28"/>
          <w:szCs w:val="28"/>
        </w:rPr>
        <w:t xml:space="preserve">суальних засад  його діяльності; </w:t>
      </w:r>
    </w:p>
    <w:p w:rsidR="00D07E55" w:rsidRPr="00AC4A0D" w:rsidP="00AC4A0D">
      <w:pPr>
        <w:widowControl w:val="0"/>
        <w:bidi w:val="0"/>
        <w:ind w:firstLine="709"/>
        <w:rPr>
          <w:rFonts w:ascii="Times New Roman" w:hAnsi="Times New Roman"/>
          <w:sz w:val="28"/>
          <w:szCs w:val="28"/>
        </w:rPr>
      </w:pPr>
      <w:r w:rsidRPr="00AC4A0D" w:rsidR="004B7A2E">
        <w:rPr>
          <w:rFonts w:ascii="Times New Roman" w:hAnsi="Times New Roman"/>
          <w:sz w:val="28"/>
          <w:szCs w:val="28"/>
        </w:rPr>
        <w:t xml:space="preserve">- запровадити в Україні такі процесуальні засоби виявлення та припинення порушення законодавства </w:t>
      </w:r>
      <w:r w:rsidRPr="00AC4A0D" w:rsidR="00AC4A0D">
        <w:rPr>
          <w:rFonts w:ascii="Times New Roman" w:hAnsi="Times New Roman"/>
          <w:sz w:val="28"/>
          <w:szCs w:val="28"/>
        </w:rPr>
        <w:t xml:space="preserve">про захист економічної конкуренції </w:t>
      </w:r>
      <w:r w:rsidRPr="00AC4A0D" w:rsidR="004B7A2E">
        <w:rPr>
          <w:rFonts w:ascii="Times New Roman" w:hAnsi="Times New Roman"/>
          <w:sz w:val="28"/>
          <w:szCs w:val="28"/>
        </w:rPr>
        <w:t xml:space="preserve">як </w:t>
      </w:r>
      <w:r w:rsidRPr="00AC4A0D" w:rsidR="004B7A2E">
        <w:rPr>
          <w:rFonts w:ascii="Times New Roman" w:hAnsi="Times New Roman"/>
          <w:color w:val="000000"/>
          <w:sz w:val="28"/>
          <w:szCs w:val="28"/>
          <w:shd w:val="clear" w:color="auto" w:fill="FFFFFF"/>
          <w:lang w:val="en-GB"/>
        </w:rPr>
        <w:t>leniency</w:t>
      </w:r>
      <w:r w:rsidRPr="00AC4A0D" w:rsidR="004B7A2E">
        <w:rPr>
          <w:rFonts w:ascii="Times New Roman" w:hAnsi="Times New Roman"/>
          <w:sz w:val="28"/>
          <w:szCs w:val="28"/>
        </w:rPr>
        <w:t xml:space="preserve"> та </w:t>
      </w:r>
      <w:r w:rsidRPr="00AC4A0D" w:rsidR="004B7A2E">
        <w:rPr>
          <w:rFonts w:ascii="Times New Roman" w:hAnsi="Times New Roman"/>
          <w:color w:val="000000"/>
          <w:sz w:val="28"/>
          <w:szCs w:val="28"/>
          <w:shd w:val="clear" w:color="auto" w:fill="FFFFFF"/>
          <w:lang w:val="en-GB"/>
        </w:rPr>
        <w:t>settlement</w:t>
      </w:r>
      <w:r w:rsidRPr="00AC4A0D" w:rsidR="004B7A2E">
        <w:rPr>
          <w:rFonts w:ascii="Times New Roman" w:hAnsi="Times New Roman"/>
          <w:color w:val="000000"/>
          <w:sz w:val="28"/>
          <w:szCs w:val="28"/>
          <w:shd w:val="clear" w:color="auto" w:fill="FFFFFF"/>
        </w:rPr>
        <w:t xml:space="preserve">; </w:t>
      </w:r>
      <w:r w:rsidRPr="00AC4A0D" w:rsidR="004B7A2E">
        <w:rPr>
          <w:rFonts w:ascii="Times New Roman" w:hAnsi="Times New Roman"/>
          <w:sz w:val="28"/>
          <w:szCs w:val="28"/>
        </w:rPr>
        <w:t xml:space="preserve"> </w:t>
      </w:r>
    </w:p>
    <w:p w:rsidR="004B7A2E" w:rsidRPr="00AC4A0D" w:rsidP="00AC4A0D">
      <w:pPr>
        <w:widowControl w:val="0"/>
        <w:bidi w:val="0"/>
        <w:ind w:firstLine="709"/>
        <w:rPr>
          <w:rFonts w:ascii="Times New Roman" w:hAnsi="Times New Roman"/>
          <w:sz w:val="28"/>
          <w:szCs w:val="28"/>
        </w:rPr>
      </w:pPr>
      <w:r w:rsidRPr="00AC4A0D">
        <w:rPr>
          <w:rFonts w:ascii="Times New Roman" w:hAnsi="Times New Roman"/>
          <w:sz w:val="28"/>
          <w:szCs w:val="28"/>
        </w:rPr>
        <w:t xml:space="preserve">- захистити права </w:t>
      </w:r>
      <w:r w:rsidRPr="00AC4A0D" w:rsidR="00F06F11">
        <w:rPr>
          <w:rFonts w:ascii="Times New Roman" w:hAnsi="Times New Roman"/>
          <w:sz w:val="28"/>
          <w:szCs w:val="28"/>
        </w:rPr>
        <w:t>та охоронювані законом інтереси бізнесу та масового споживача завдяки утворенню спеціалізованого суду з питань конкуренції та напрацюванню судової практики вирішення конкурен</w:t>
      </w:r>
      <w:r w:rsidRPr="00AC4A0D" w:rsidR="00AC4A0D">
        <w:rPr>
          <w:rFonts w:ascii="Times New Roman" w:hAnsi="Times New Roman"/>
          <w:sz w:val="28"/>
          <w:szCs w:val="28"/>
        </w:rPr>
        <w:t>тних</w:t>
      </w:r>
      <w:r w:rsidRPr="00AC4A0D" w:rsidR="00F06F11">
        <w:rPr>
          <w:rFonts w:ascii="Times New Roman" w:hAnsi="Times New Roman"/>
          <w:sz w:val="28"/>
          <w:szCs w:val="28"/>
        </w:rPr>
        <w:t xml:space="preserve"> спорів, зокрема щодо відшкодування збитків, завданих порушеннями законодавства</w:t>
      </w:r>
      <w:r w:rsidRPr="00AC4A0D" w:rsidR="00AC4A0D">
        <w:rPr>
          <w:rFonts w:ascii="Times New Roman" w:hAnsi="Times New Roman"/>
          <w:sz w:val="28"/>
          <w:szCs w:val="28"/>
        </w:rPr>
        <w:t xml:space="preserve"> про захист економічної конкуренції</w:t>
      </w:r>
      <w:r w:rsidRPr="00AC4A0D" w:rsidR="00F06F11">
        <w:rPr>
          <w:rFonts w:ascii="Times New Roman" w:hAnsi="Times New Roman"/>
          <w:sz w:val="28"/>
          <w:szCs w:val="28"/>
        </w:rPr>
        <w:t>.</w:t>
      </w:r>
    </w:p>
    <w:p w:rsidR="00B072FC" w:rsidRPr="00AC4A0D" w:rsidP="00AC4A0D">
      <w:pPr>
        <w:widowControl w:val="0"/>
        <w:bidi w:val="0"/>
        <w:ind w:firstLine="0"/>
        <w:rPr>
          <w:rFonts w:ascii="Times New Roman" w:hAnsi="Times New Roman"/>
          <w:b/>
          <w:bCs/>
          <w:sz w:val="28"/>
          <w:szCs w:val="28"/>
        </w:rPr>
      </w:pPr>
    </w:p>
    <w:p w:rsidR="00B072FC" w:rsidRPr="00AC4A0D" w:rsidP="00AC4A0D">
      <w:pPr>
        <w:widowControl w:val="0"/>
        <w:bidi w:val="0"/>
        <w:ind w:firstLine="0"/>
        <w:rPr>
          <w:rFonts w:ascii="Times New Roman" w:hAnsi="Times New Roman"/>
          <w:b/>
          <w:bCs/>
          <w:sz w:val="28"/>
          <w:szCs w:val="28"/>
        </w:rPr>
      </w:pPr>
    </w:p>
    <w:p w:rsidR="00660000" w:rsidRPr="00AC4A0D" w:rsidP="00AC4A0D">
      <w:pPr>
        <w:widowControl w:val="0"/>
        <w:bidi w:val="0"/>
        <w:ind w:firstLine="0"/>
        <w:rPr>
          <w:rFonts w:ascii="Times New Roman" w:hAnsi="Times New Roman"/>
          <w:b/>
          <w:bCs/>
          <w:sz w:val="28"/>
          <w:szCs w:val="28"/>
        </w:rPr>
      </w:pPr>
      <w:r w:rsidRPr="00AC4A0D" w:rsidR="007903BE">
        <w:rPr>
          <w:rFonts w:ascii="Times New Roman" w:hAnsi="Times New Roman"/>
          <w:b/>
          <w:bCs/>
          <w:sz w:val="28"/>
          <w:szCs w:val="28"/>
        </w:rPr>
        <w:t xml:space="preserve"> </w:t>
      </w:r>
      <w:r w:rsidRPr="00AC4A0D" w:rsidR="007E7F72">
        <w:rPr>
          <w:rFonts w:ascii="Times New Roman" w:hAnsi="Times New Roman"/>
          <w:b/>
          <w:bCs/>
          <w:sz w:val="28"/>
          <w:szCs w:val="28"/>
        </w:rPr>
        <w:t xml:space="preserve">Народний депутат </w:t>
      </w:r>
      <w:r w:rsidRPr="00AC4A0D" w:rsidR="00304877">
        <w:rPr>
          <w:rFonts w:ascii="Times New Roman" w:hAnsi="Times New Roman"/>
          <w:b/>
          <w:bCs/>
          <w:sz w:val="28"/>
          <w:szCs w:val="28"/>
        </w:rPr>
        <w:t>України</w:t>
        <w:tab/>
        <w:t xml:space="preserve">                </w:t>
      </w:r>
      <w:r w:rsidRPr="00AC4A0D" w:rsidR="003B6E91">
        <w:rPr>
          <w:rFonts w:ascii="Times New Roman" w:hAnsi="Times New Roman"/>
          <w:b/>
          <w:bCs/>
          <w:sz w:val="28"/>
          <w:szCs w:val="28"/>
        </w:rPr>
        <w:t xml:space="preserve">                            </w:t>
      </w:r>
      <w:r w:rsidRPr="00AC4A0D" w:rsidR="007903BE">
        <w:rPr>
          <w:rFonts w:ascii="Times New Roman" w:hAnsi="Times New Roman"/>
          <w:b/>
          <w:bCs/>
          <w:sz w:val="28"/>
          <w:szCs w:val="28"/>
        </w:rPr>
        <w:t xml:space="preserve"> </w:t>
      </w:r>
      <w:r w:rsidRPr="00AC4A0D" w:rsidR="007E7F72">
        <w:rPr>
          <w:rFonts w:ascii="Times New Roman" w:hAnsi="Times New Roman"/>
          <w:b/>
          <w:bCs/>
          <w:sz w:val="28"/>
          <w:szCs w:val="28"/>
        </w:rPr>
        <w:t xml:space="preserve">     </w:t>
      </w:r>
      <w:r w:rsidRPr="00AC4A0D" w:rsidR="007903BE">
        <w:rPr>
          <w:rFonts w:ascii="Times New Roman" w:hAnsi="Times New Roman"/>
          <w:b/>
          <w:bCs/>
          <w:sz w:val="28"/>
          <w:szCs w:val="28"/>
        </w:rPr>
        <w:t xml:space="preserve"> </w:t>
      </w:r>
      <w:r w:rsidRPr="00AC4A0D" w:rsidR="00AC4A0D">
        <w:rPr>
          <w:rFonts w:ascii="Times New Roman" w:hAnsi="Times New Roman"/>
          <w:b/>
          <w:bCs/>
          <w:sz w:val="28"/>
          <w:szCs w:val="28"/>
        </w:rPr>
        <w:t>Р</w:t>
      </w:r>
      <w:r w:rsidRPr="00AC4A0D" w:rsidR="005E180B">
        <w:rPr>
          <w:rFonts w:ascii="Times New Roman" w:hAnsi="Times New Roman"/>
          <w:b/>
          <w:bCs/>
          <w:sz w:val="28"/>
          <w:szCs w:val="28"/>
        </w:rPr>
        <w:t>.А.</w:t>
      </w:r>
      <w:r w:rsidRPr="00AC4A0D" w:rsidR="00AC4A0D">
        <w:rPr>
          <w:rFonts w:ascii="Times New Roman" w:hAnsi="Times New Roman"/>
          <w:b/>
          <w:bCs/>
          <w:sz w:val="28"/>
          <w:szCs w:val="28"/>
        </w:rPr>
        <w:t xml:space="preserve"> Підласа </w:t>
      </w:r>
      <w:r w:rsidRPr="00AC4A0D" w:rsidR="00304877">
        <w:rPr>
          <w:rFonts w:ascii="Times New Roman" w:hAnsi="Times New Roman"/>
          <w:b/>
          <w:bCs/>
          <w:sz w:val="28"/>
          <w:szCs w:val="28"/>
        </w:rPr>
        <w:t>(</w:t>
      </w:r>
      <w:r w:rsidRPr="00AC4A0D" w:rsidR="00AC4A0D">
        <w:rPr>
          <w:rFonts w:ascii="Times New Roman" w:hAnsi="Times New Roman"/>
          <w:b/>
          <w:bCs/>
          <w:sz w:val="28"/>
          <w:szCs w:val="28"/>
        </w:rPr>
        <w:t>100</w:t>
      </w:r>
      <w:r w:rsidRPr="00AC4A0D" w:rsidR="00304877">
        <w:rPr>
          <w:rFonts w:ascii="Times New Roman" w:hAnsi="Times New Roman"/>
          <w:b/>
          <w:bCs/>
          <w:sz w:val="28"/>
          <w:szCs w:val="28"/>
        </w:rPr>
        <w:t>)</w:t>
      </w:r>
      <w:r w:rsidRPr="00AC4A0D" w:rsidR="007903BE">
        <w:rPr>
          <w:rFonts w:ascii="Times New Roman" w:hAnsi="Times New Roman"/>
          <w:b/>
          <w:bCs/>
          <w:sz w:val="28"/>
          <w:szCs w:val="28"/>
        </w:rPr>
        <w:t xml:space="preserve">                     </w:t>
      </w:r>
      <w:r w:rsidRPr="00AC4A0D" w:rsidR="006C1FE6">
        <w:rPr>
          <w:rFonts w:ascii="Times New Roman" w:hAnsi="Times New Roman"/>
          <w:b/>
          <w:bCs/>
          <w:sz w:val="28"/>
          <w:szCs w:val="28"/>
        </w:rPr>
        <w:t xml:space="preserve">    </w:t>
      </w:r>
    </w:p>
    <w:p w:rsidR="0066653C" w:rsidRPr="003B6E91" w:rsidP="00B0710F">
      <w:pPr>
        <w:widowControl w:val="0"/>
        <w:bidi w:val="0"/>
        <w:ind w:firstLine="0"/>
        <w:rPr>
          <w:rFonts w:ascii="Times New Roman" w:hAnsi="Times New Roman"/>
          <w:sz w:val="28"/>
          <w:szCs w:val="28"/>
        </w:rPr>
      </w:pPr>
    </w:p>
    <w:sectPr w:rsidSect="00F56D32">
      <w:headerReference w:type="even" r:id="rId4"/>
      <w:headerReference w:type="default" r:id="rId5"/>
      <w:pgSz w:w="11907" w:h="16840" w:code="9"/>
      <w:pgMar w:top="993" w:right="794" w:bottom="624" w:left="1361" w:header="567" w:footer="567"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ourier New">
    <w:altName w:val="Courier"/>
    <w:panose1 w:val="02070309020205020404"/>
    <w:charset w:val="EE"/>
    <w:family w:val="modern"/>
    <w:pitch w:val="fixed"/>
    <w:sig w:usb0="00000000" w:usb1="00000000" w:usb2="00000000" w:usb3="00000000" w:csb0="000001FF" w:csb1="00000000"/>
  </w:font>
  <w:font w:name="Symbol">
    <w:altName w:val="Times New Roman"/>
    <w:panose1 w:val="05050102010706020507"/>
    <w:charset w:val="02"/>
    <w:family w:val="decorative"/>
    <w:pitch w:val="variable"/>
    <w:sig w:usb0="00000000" w:usb1="00000000" w:usb2="00000000" w:usb3="00000000" w:csb0="80000001" w:csb1="00000000"/>
  </w:font>
  <w:font w:name="Wingdings">
    <w:panose1 w:val="05000000000000000000"/>
    <w:charset w:val="02"/>
    <w:family w:val="decorative"/>
    <w:pitch w:val="variable"/>
    <w:sig w:usb0="00000000" w:usb1="00000000" w:usb2="00000000" w:usb3="00000000" w:csb0="80000001" w:csb1="00000000"/>
  </w:font>
  <w:font w:name="Cambria Math">
    <w:panose1 w:val="02040503050406030204"/>
    <w:charset w:val="EE"/>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Verdana">
    <w:altName w:val=" Arial"/>
    <w:panose1 w:val="020B0604030504040204"/>
    <w:charset w:val="EE"/>
    <w:family w:val="swiss"/>
    <w:pitch w:val="variable"/>
    <w:sig w:usb0="00000000" w:usb1="00000000" w:usb2="00000000" w:usb3="00000000" w:csb0="0000019F" w:csb1="00000000"/>
  </w:font>
  <w:font w:name="Antiqua">
    <w:altName w:val="Courier New"/>
    <w:panose1 w:val="00000000000000000000"/>
    <w:charset w:val="00"/>
    <w:family w:val="swiss"/>
    <w:pitch w:val="variable"/>
    <w:sig w:usb0="00000000" w:usb1="00000000" w:usb2="00000000" w:usb3="00000000" w:csb0="00000001" w:csb1="00000000"/>
  </w:font>
  <w:font w:name="Tahoma">
    <w:altName w:val="Arial"/>
    <w:panose1 w:val="020B0604030504040204"/>
    <w:charset w:val="CC"/>
    <w:family w:val="swiss"/>
    <w:pitch w:val="variable"/>
    <w:sig w:usb0="00000000" w:usb1="00000000" w:usb2="00000000" w:usb3="00000000" w:csb0="000101FF" w:csb1="00000000"/>
  </w:font>
  <w:font w:name="Cambria">
    <w:panose1 w:val="02040503050406030204"/>
    <w:charset w:val="CC"/>
    <w:family w:val="roman"/>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5C5" w:rsidP="00A2666A">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1015C5">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5C5" w:rsidP="00A2666A">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653A5A">
      <w:rPr>
        <w:rStyle w:val="PageNumber"/>
        <w:rFonts w:ascii="Times New Roman" w:hAnsi="Times New Roman"/>
        <w:noProof/>
      </w:rPr>
      <w:t>8</w:t>
    </w:r>
    <w:r>
      <w:rPr>
        <w:rStyle w:val="PageNumber"/>
        <w:rFonts w:ascii="Times New Roman" w:hAnsi="Times New Roman"/>
      </w:rPr>
      <w:fldChar w:fldCharType="end"/>
    </w:r>
  </w:p>
  <w:p w:rsidR="001015C5">
    <w:pPr>
      <w:pStyle w:val="Header"/>
      <w:bidi w:val="0"/>
      <w:jc w:val="center"/>
      <w:rPr>
        <w:rFonts w:ascii="Times New Roman" w:hAnsi="Times New Roman"/>
        <w:color w:val="FFFFFF"/>
      </w:rPr>
    </w:pPr>
  </w:p>
  <w:p w:rsidR="00AE76C2" w:rsidRPr="004E4774">
    <w:pPr>
      <w:pStyle w:val="Header"/>
      <w:bidi w:val="0"/>
      <w:jc w:val="center"/>
      <w:rPr>
        <w:rFonts w:ascii="Times New Roman" w:hAnsi="Times New Roman"/>
        <w:color w:val="FFFFF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066F3"/>
    <w:multiLevelType w:val="hybridMultilevel"/>
    <w:tmpl w:val="6BECB790"/>
    <w:lvl w:ilvl="0">
      <w:start w:val="1"/>
      <w:numFmt w:val="decimal"/>
      <w:lvlText w:val="%1)"/>
      <w:lvlJc w:val="left"/>
      <w:pPr>
        <w:ind w:left="1789" w:hanging="108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
    <w:nsid w:val="0CD91454"/>
    <w:multiLevelType w:val="hybridMultilevel"/>
    <w:tmpl w:val="7B7A57FE"/>
    <w:lvl w:ilvl="0">
      <w:start w:val="1"/>
      <w:numFmt w:val="decimal"/>
      <w:lvlText w:val="%1)"/>
      <w:lvlJc w:val="left"/>
      <w:pPr>
        <w:ind w:left="1069" w:hanging="360"/>
      </w:pPr>
      <w:rPr>
        <w:rFonts w:cs="Times New Roman" w:hint="default"/>
        <w:color w:val="000000"/>
        <w:sz w:val="27"/>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11646AE6"/>
    <w:multiLevelType w:val="hybridMultilevel"/>
    <w:tmpl w:val="0CD47E62"/>
    <w:lvl w:ilvl="0">
      <w:start w:val="1"/>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7B2407F"/>
    <w:multiLevelType w:val="hybridMultilevel"/>
    <w:tmpl w:val="04A23216"/>
    <w:lvl w:ilvl="0">
      <w:start w:val="14"/>
      <w:numFmt w:val="bullet"/>
      <w:lvlText w:val=""/>
      <w:lvlJc w:val="left"/>
      <w:pPr>
        <w:ind w:left="720" w:hanging="360"/>
      </w:pPr>
      <w:rPr>
        <w:rFonts w:ascii="Symbol" w:eastAsia="Times New Roman" w:hAnsi="Symbol" w:hint="default"/>
        <w:sz w:val="22"/>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1E0B53D3"/>
    <w:multiLevelType w:val="hybridMultilevel"/>
    <w:tmpl w:val="AA028880"/>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5">
    <w:nsid w:val="2A26401A"/>
    <w:multiLevelType w:val="hybridMultilevel"/>
    <w:tmpl w:val="DD825336"/>
    <w:lvl w:ilvl="0">
      <w:start w:val="14"/>
      <w:numFmt w:val="bullet"/>
      <w:lvlText w:val=""/>
      <w:lvlJc w:val="left"/>
      <w:pPr>
        <w:ind w:left="720" w:hanging="360"/>
      </w:pPr>
      <w:rPr>
        <w:rFonts w:ascii="Symbol" w:eastAsia="Times New Roman" w:hAnsi="Symbol" w:hint="default"/>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3B2C48A5"/>
    <w:multiLevelType w:val="hybridMultilevel"/>
    <w:tmpl w:val="3224F41C"/>
    <w:lvl w:ilvl="0">
      <w:start w:val="1"/>
      <w:numFmt w:val="decimal"/>
      <w:lvlText w:val="%1)"/>
      <w:lvlJc w:val="left"/>
      <w:pPr>
        <w:ind w:left="1429" w:hanging="360"/>
      </w:pPr>
      <w:rPr>
        <w:rFonts w:cs="Times New Roman"/>
        <w:rtl w:val="0"/>
        <w:cs w:val="0"/>
      </w:rPr>
    </w:lvl>
    <w:lvl w:ilvl="1">
      <w:start w:val="1"/>
      <w:numFmt w:val="lowerLetter"/>
      <w:lvlText w:val="%2."/>
      <w:lvlJc w:val="left"/>
      <w:pPr>
        <w:ind w:left="2149" w:hanging="360"/>
      </w:pPr>
      <w:rPr>
        <w:rFonts w:cs="Times New Roman"/>
        <w:rtl w:val="0"/>
        <w:cs w:val="0"/>
      </w:rPr>
    </w:lvl>
    <w:lvl w:ilvl="2">
      <w:start w:val="1"/>
      <w:numFmt w:val="lowerRoman"/>
      <w:lvlText w:val="%3."/>
      <w:lvlJc w:val="right"/>
      <w:pPr>
        <w:ind w:left="2869" w:hanging="180"/>
      </w:pPr>
      <w:rPr>
        <w:rFonts w:cs="Times New Roman"/>
        <w:rtl w:val="0"/>
        <w:cs w:val="0"/>
      </w:rPr>
    </w:lvl>
    <w:lvl w:ilvl="3">
      <w:start w:val="1"/>
      <w:numFmt w:val="decimal"/>
      <w:lvlText w:val="%4."/>
      <w:lvlJc w:val="left"/>
      <w:pPr>
        <w:ind w:left="3589" w:hanging="360"/>
      </w:pPr>
      <w:rPr>
        <w:rFonts w:cs="Times New Roman"/>
        <w:rtl w:val="0"/>
        <w:cs w:val="0"/>
      </w:rPr>
    </w:lvl>
    <w:lvl w:ilvl="4">
      <w:start w:val="1"/>
      <w:numFmt w:val="lowerLetter"/>
      <w:lvlText w:val="%5."/>
      <w:lvlJc w:val="left"/>
      <w:pPr>
        <w:ind w:left="4309" w:hanging="360"/>
      </w:pPr>
      <w:rPr>
        <w:rFonts w:cs="Times New Roman"/>
        <w:rtl w:val="0"/>
        <w:cs w:val="0"/>
      </w:rPr>
    </w:lvl>
    <w:lvl w:ilvl="5">
      <w:start w:val="1"/>
      <w:numFmt w:val="lowerRoman"/>
      <w:lvlText w:val="%6."/>
      <w:lvlJc w:val="right"/>
      <w:pPr>
        <w:ind w:left="5029" w:hanging="180"/>
      </w:pPr>
      <w:rPr>
        <w:rFonts w:cs="Times New Roman"/>
        <w:rtl w:val="0"/>
        <w:cs w:val="0"/>
      </w:rPr>
    </w:lvl>
    <w:lvl w:ilvl="6">
      <w:start w:val="1"/>
      <w:numFmt w:val="decimal"/>
      <w:lvlText w:val="%7."/>
      <w:lvlJc w:val="left"/>
      <w:pPr>
        <w:ind w:left="5749" w:hanging="360"/>
      </w:pPr>
      <w:rPr>
        <w:rFonts w:cs="Times New Roman"/>
        <w:rtl w:val="0"/>
        <w:cs w:val="0"/>
      </w:rPr>
    </w:lvl>
    <w:lvl w:ilvl="7">
      <w:start w:val="1"/>
      <w:numFmt w:val="lowerLetter"/>
      <w:lvlText w:val="%8."/>
      <w:lvlJc w:val="left"/>
      <w:pPr>
        <w:ind w:left="6469" w:hanging="360"/>
      </w:pPr>
      <w:rPr>
        <w:rFonts w:cs="Times New Roman"/>
        <w:rtl w:val="0"/>
        <w:cs w:val="0"/>
      </w:rPr>
    </w:lvl>
    <w:lvl w:ilvl="8">
      <w:start w:val="1"/>
      <w:numFmt w:val="lowerRoman"/>
      <w:lvlText w:val="%9."/>
      <w:lvlJc w:val="right"/>
      <w:pPr>
        <w:ind w:left="7189" w:hanging="180"/>
      </w:pPr>
      <w:rPr>
        <w:rFonts w:cs="Times New Roman"/>
        <w:rtl w:val="0"/>
        <w:cs w:val="0"/>
      </w:rPr>
    </w:lvl>
  </w:abstractNum>
  <w:abstractNum w:abstractNumId="7">
    <w:nsid w:val="4A3B7BCB"/>
    <w:multiLevelType w:val="hybridMultilevel"/>
    <w:tmpl w:val="C0007658"/>
    <w:lvl w:ilvl="0">
      <w:start w:val="0"/>
      <w:numFmt w:val="bullet"/>
      <w:lvlText w:val="-"/>
      <w:lvlJc w:val="left"/>
      <w:pPr>
        <w:ind w:left="720" w:hanging="360"/>
      </w:pPr>
      <w:rPr>
        <w:rFonts w:ascii="Calibri" w:eastAsia="Times New Roman"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51C42081"/>
    <w:multiLevelType w:val="hybridMultilevel"/>
    <w:tmpl w:val="C2526D48"/>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9">
    <w:nsid w:val="55D2181C"/>
    <w:multiLevelType w:val="hybridMultilevel"/>
    <w:tmpl w:val="5AA4AB36"/>
    <w:lvl w:ilvl="0">
      <w:start w:val="14"/>
      <w:numFmt w:val="bullet"/>
      <w:lvlText w:val=""/>
      <w:lvlJc w:val="left"/>
      <w:pPr>
        <w:ind w:left="720" w:hanging="360"/>
      </w:pPr>
      <w:rPr>
        <w:rFonts w:ascii="Symbol" w:eastAsia="Times New Roman" w:hAnsi="Symbol" w:hint="default"/>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5E496D61"/>
    <w:multiLevelType w:val="hybridMultilevel"/>
    <w:tmpl w:val="4BF41F24"/>
    <w:lvl w:ilvl="0">
      <w:start w:val="0"/>
      <w:numFmt w:val="bullet"/>
      <w:lvlText w:val="-"/>
      <w:lvlJc w:val="left"/>
      <w:pPr>
        <w:ind w:left="1324" w:hanging="615"/>
      </w:pPr>
      <w:rPr>
        <w:rFonts w:ascii="Times New Roman" w:eastAsia="Calibri" w:hAnsi="Times New Roman" w:hint="default"/>
      </w:rPr>
    </w:lvl>
    <w:lvl w:ilvl="1">
      <w:start w:val="1"/>
      <w:numFmt w:val="bullet"/>
      <w:lvlText w:val="o"/>
      <w:lvlJc w:val="left"/>
      <w:pPr>
        <w:ind w:left="1789" w:hanging="360"/>
      </w:pPr>
      <w:rPr>
        <w:rFonts w:ascii="Courier New" w:hAnsi="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hint="default"/>
      </w:rPr>
    </w:lvl>
    <w:lvl w:ilvl="8">
      <w:start w:val="1"/>
      <w:numFmt w:val="bullet"/>
      <w:lvlText w:val=""/>
      <w:lvlJc w:val="left"/>
      <w:pPr>
        <w:ind w:left="6829" w:hanging="360"/>
      </w:pPr>
      <w:rPr>
        <w:rFonts w:ascii="Wingdings" w:hAnsi="Wingdings" w:hint="default"/>
      </w:rPr>
    </w:lvl>
  </w:abstractNum>
  <w:abstractNum w:abstractNumId="11">
    <w:nsid w:val="6DCA39C6"/>
    <w:multiLevelType w:val="hybridMultilevel"/>
    <w:tmpl w:val="C8C25C3C"/>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2">
    <w:nsid w:val="6F67111B"/>
    <w:multiLevelType w:val="hybridMultilevel"/>
    <w:tmpl w:val="0F2A13EE"/>
    <w:lvl w:ilvl="0">
      <w:start w:val="2"/>
      <w:numFmt w:val="bullet"/>
      <w:lvlText w:val="-"/>
      <w:lvlJc w:val="left"/>
      <w:pPr>
        <w:ind w:left="1069" w:hanging="360"/>
      </w:pPr>
      <w:rPr>
        <w:rFonts w:ascii="Times New Roman" w:eastAsia="Times New Roman" w:hAnsi="Times New Roman" w:hint="default"/>
      </w:rPr>
    </w:lvl>
    <w:lvl w:ilvl="1">
      <w:start w:val="1"/>
      <w:numFmt w:val="bullet"/>
      <w:lvlText w:val="o"/>
      <w:lvlJc w:val="left"/>
      <w:pPr>
        <w:ind w:left="1789" w:hanging="360"/>
      </w:pPr>
      <w:rPr>
        <w:rFonts w:ascii="Courier New" w:hAnsi="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hint="default"/>
      </w:rPr>
    </w:lvl>
    <w:lvl w:ilvl="8">
      <w:start w:val="1"/>
      <w:numFmt w:val="bullet"/>
      <w:lvlText w:val=""/>
      <w:lvlJc w:val="left"/>
      <w:pPr>
        <w:ind w:left="6829" w:hanging="360"/>
      </w:pPr>
      <w:rPr>
        <w:rFonts w:ascii="Wingdings" w:hAnsi="Wingdings" w:hint="default"/>
      </w:rPr>
    </w:lvl>
  </w:abstractNum>
  <w:num w:numId="1">
    <w:abstractNumId w:val="11"/>
  </w:num>
  <w:num w:numId="2">
    <w:abstractNumId w:val="5"/>
  </w:num>
  <w:num w:numId="3">
    <w:abstractNumId w:val="9"/>
  </w:num>
  <w:num w:numId="4">
    <w:abstractNumId w:val="8"/>
  </w:num>
  <w:num w:numId="5">
    <w:abstractNumId w:val="2"/>
  </w:num>
  <w:num w:numId="6">
    <w:abstractNumId w:val="7"/>
  </w:num>
  <w:num w:numId="7">
    <w:abstractNumId w:val="1"/>
  </w:num>
  <w:num w:numId="8">
    <w:abstractNumId w:val="6"/>
  </w:num>
  <w:num w:numId="9">
    <w:abstractNumId w:val="0"/>
  </w:num>
  <w:num w:numId="10">
    <w:abstractNumId w:val="3"/>
  </w:num>
  <w:num w:numId="11">
    <w:abstractNumId w:val="12"/>
  </w:num>
  <w:num w:numId="12">
    <w:abstractNumId w:val="4"/>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oNotTrackFormatting/>
  <w:defaultTabStop w:val="708"/>
  <w:hyphenationZone w:val="425"/>
  <w:drawingGridHorizontalSpacing w:val="187"/>
  <w:drawingGridVerticalSpacing w:val="127"/>
  <w:displayVerticalDrawingGridEvery w:val="2"/>
  <w:characterSpacingControl w:val="doNotCompress"/>
  <w:compat/>
  <w:rsids>
    <w:rsidRoot w:val="007903BE"/>
    <w:rsid w:val="0000007A"/>
    <w:rsid w:val="00004B38"/>
    <w:rsid w:val="00007544"/>
    <w:rsid w:val="00012B85"/>
    <w:rsid w:val="00012BBA"/>
    <w:rsid w:val="00033803"/>
    <w:rsid w:val="0003429C"/>
    <w:rsid w:val="00042C3F"/>
    <w:rsid w:val="00053013"/>
    <w:rsid w:val="00072491"/>
    <w:rsid w:val="000746EC"/>
    <w:rsid w:val="000820CB"/>
    <w:rsid w:val="000877EC"/>
    <w:rsid w:val="000A3F2A"/>
    <w:rsid w:val="000B5148"/>
    <w:rsid w:val="000D10C2"/>
    <w:rsid w:val="000D2941"/>
    <w:rsid w:val="000D3E2A"/>
    <w:rsid w:val="000F5578"/>
    <w:rsid w:val="001015C5"/>
    <w:rsid w:val="0010668F"/>
    <w:rsid w:val="00107EA1"/>
    <w:rsid w:val="001135E5"/>
    <w:rsid w:val="00115503"/>
    <w:rsid w:val="0012392D"/>
    <w:rsid w:val="00126111"/>
    <w:rsid w:val="00142F37"/>
    <w:rsid w:val="00145467"/>
    <w:rsid w:val="00155DF5"/>
    <w:rsid w:val="00163113"/>
    <w:rsid w:val="001701A6"/>
    <w:rsid w:val="00170AAD"/>
    <w:rsid w:val="00190C51"/>
    <w:rsid w:val="00192B1A"/>
    <w:rsid w:val="001A1DF6"/>
    <w:rsid w:val="001A6001"/>
    <w:rsid w:val="001B3F51"/>
    <w:rsid w:val="001C396A"/>
    <w:rsid w:val="001D08D8"/>
    <w:rsid w:val="001D5949"/>
    <w:rsid w:val="001E424A"/>
    <w:rsid w:val="001E71D7"/>
    <w:rsid w:val="001F1F79"/>
    <w:rsid w:val="001F22B6"/>
    <w:rsid w:val="002023AE"/>
    <w:rsid w:val="00213552"/>
    <w:rsid w:val="00246DD1"/>
    <w:rsid w:val="00261D43"/>
    <w:rsid w:val="00263CD7"/>
    <w:rsid w:val="00281D1C"/>
    <w:rsid w:val="00292B5B"/>
    <w:rsid w:val="002961B2"/>
    <w:rsid w:val="00296C79"/>
    <w:rsid w:val="002A4CDD"/>
    <w:rsid w:val="002B6422"/>
    <w:rsid w:val="002C0DE5"/>
    <w:rsid w:val="002E0856"/>
    <w:rsid w:val="002E4B8E"/>
    <w:rsid w:val="002F5C82"/>
    <w:rsid w:val="002F795F"/>
    <w:rsid w:val="0030106D"/>
    <w:rsid w:val="00304877"/>
    <w:rsid w:val="00322D17"/>
    <w:rsid w:val="0033066F"/>
    <w:rsid w:val="00343C3A"/>
    <w:rsid w:val="003A27F7"/>
    <w:rsid w:val="003A6160"/>
    <w:rsid w:val="003B1881"/>
    <w:rsid w:val="003B49B8"/>
    <w:rsid w:val="003B4DD6"/>
    <w:rsid w:val="003B6562"/>
    <w:rsid w:val="003B6E91"/>
    <w:rsid w:val="003D5557"/>
    <w:rsid w:val="003E5330"/>
    <w:rsid w:val="003E5D13"/>
    <w:rsid w:val="00405351"/>
    <w:rsid w:val="00407CE5"/>
    <w:rsid w:val="00423B7B"/>
    <w:rsid w:val="00442671"/>
    <w:rsid w:val="0044286E"/>
    <w:rsid w:val="00442C17"/>
    <w:rsid w:val="004439E5"/>
    <w:rsid w:val="00451365"/>
    <w:rsid w:val="00451F1D"/>
    <w:rsid w:val="004571BC"/>
    <w:rsid w:val="0046430D"/>
    <w:rsid w:val="00473FCA"/>
    <w:rsid w:val="00481C19"/>
    <w:rsid w:val="004B7A2E"/>
    <w:rsid w:val="004C42CF"/>
    <w:rsid w:val="004C6FD0"/>
    <w:rsid w:val="004C6FFE"/>
    <w:rsid w:val="004E4774"/>
    <w:rsid w:val="004F518D"/>
    <w:rsid w:val="0050034E"/>
    <w:rsid w:val="00514905"/>
    <w:rsid w:val="00520565"/>
    <w:rsid w:val="00557C44"/>
    <w:rsid w:val="00567B19"/>
    <w:rsid w:val="0057166E"/>
    <w:rsid w:val="005912FD"/>
    <w:rsid w:val="00594FBC"/>
    <w:rsid w:val="005C3858"/>
    <w:rsid w:val="005C590C"/>
    <w:rsid w:val="005D226C"/>
    <w:rsid w:val="005E180B"/>
    <w:rsid w:val="005E28CD"/>
    <w:rsid w:val="005E701B"/>
    <w:rsid w:val="005F29E8"/>
    <w:rsid w:val="00600DAD"/>
    <w:rsid w:val="00625DDA"/>
    <w:rsid w:val="00641FEE"/>
    <w:rsid w:val="00651AE7"/>
    <w:rsid w:val="00653A5A"/>
    <w:rsid w:val="00656390"/>
    <w:rsid w:val="006570E8"/>
    <w:rsid w:val="00660000"/>
    <w:rsid w:val="0066653C"/>
    <w:rsid w:val="0067119F"/>
    <w:rsid w:val="00686304"/>
    <w:rsid w:val="006968FC"/>
    <w:rsid w:val="006A695D"/>
    <w:rsid w:val="006C1FE6"/>
    <w:rsid w:val="006C3CDE"/>
    <w:rsid w:val="006C4085"/>
    <w:rsid w:val="006E5CA9"/>
    <w:rsid w:val="006F7EB6"/>
    <w:rsid w:val="00712DF0"/>
    <w:rsid w:val="007171B1"/>
    <w:rsid w:val="0072114C"/>
    <w:rsid w:val="00754656"/>
    <w:rsid w:val="007675F8"/>
    <w:rsid w:val="0078192F"/>
    <w:rsid w:val="007903BE"/>
    <w:rsid w:val="00792EF5"/>
    <w:rsid w:val="00793FE0"/>
    <w:rsid w:val="00797DD0"/>
    <w:rsid w:val="007A6D88"/>
    <w:rsid w:val="007D142D"/>
    <w:rsid w:val="007E4A52"/>
    <w:rsid w:val="007E7F72"/>
    <w:rsid w:val="00810E62"/>
    <w:rsid w:val="00812ABE"/>
    <w:rsid w:val="00875A98"/>
    <w:rsid w:val="00897CBF"/>
    <w:rsid w:val="008B14CF"/>
    <w:rsid w:val="008B5AAE"/>
    <w:rsid w:val="008C1E6A"/>
    <w:rsid w:val="008C1F7B"/>
    <w:rsid w:val="008C5000"/>
    <w:rsid w:val="008C7A1B"/>
    <w:rsid w:val="008E5FB3"/>
    <w:rsid w:val="008F54F8"/>
    <w:rsid w:val="0090146F"/>
    <w:rsid w:val="0091224B"/>
    <w:rsid w:val="00914980"/>
    <w:rsid w:val="00924E9D"/>
    <w:rsid w:val="00931241"/>
    <w:rsid w:val="00943403"/>
    <w:rsid w:val="00945BAF"/>
    <w:rsid w:val="00951F1D"/>
    <w:rsid w:val="009A5035"/>
    <w:rsid w:val="009B2D62"/>
    <w:rsid w:val="009E3979"/>
    <w:rsid w:val="009E630B"/>
    <w:rsid w:val="009F2756"/>
    <w:rsid w:val="009F60DA"/>
    <w:rsid w:val="00A00ACB"/>
    <w:rsid w:val="00A043E9"/>
    <w:rsid w:val="00A13F53"/>
    <w:rsid w:val="00A2666A"/>
    <w:rsid w:val="00A35D6B"/>
    <w:rsid w:val="00A41463"/>
    <w:rsid w:val="00A55517"/>
    <w:rsid w:val="00A56A86"/>
    <w:rsid w:val="00A61C46"/>
    <w:rsid w:val="00A81A0C"/>
    <w:rsid w:val="00AA60C2"/>
    <w:rsid w:val="00AB05DC"/>
    <w:rsid w:val="00AC4A0D"/>
    <w:rsid w:val="00AD3B2B"/>
    <w:rsid w:val="00AE76C2"/>
    <w:rsid w:val="00AF01FD"/>
    <w:rsid w:val="00AF25D8"/>
    <w:rsid w:val="00B0710F"/>
    <w:rsid w:val="00B072FC"/>
    <w:rsid w:val="00B07C3D"/>
    <w:rsid w:val="00B16C96"/>
    <w:rsid w:val="00B215A9"/>
    <w:rsid w:val="00B360B7"/>
    <w:rsid w:val="00B555E0"/>
    <w:rsid w:val="00B64BB3"/>
    <w:rsid w:val="00B81BD7"/>
    <w:rsid w:val="00B9558B"/>
    <w:rsid w:val="00B97A60"/>
    <w:rsid w:val="00BA18F0"/>
    <w:rsid w:val="00BB207F"/>
    <w:rsid w:val="00BB64F1"/>
    <w:rsid w:val="00BC3A67"/>
    <w:rsid w:val="00BD03C4"/>
    <w:rsid w:val="00BD0DB9"/>
    <w:rsid w:val="00BD210F"/>
    <w:rsid w:val="00BE20F6"/>
    <w:rsid w:val="00C04426"/>
    <w:rsid w:val="00C04F21"/>
    <w:rsid w:val="00C0729D"/>
    <w:rsid w:val="00C17E74"/>
    <w:rsid w:val="00C2208E"/>
    <w:rsid w:val="00C2528F"/>
    <w:rsid w:val="00C259CE"/>
    <w:rsid w:val="00C34CD2"/>
    <w:rsid w:val="00C353C1"/>
    <w:rsid w:val="00C50862"/>
    <w:rsid w:val="00C512DB"/>
    <w:rsid w:val="00C6167F"/>
    <w:rsid w:val="00C66080"/>
    <w:rsid w:val="00C70131"/>
    <w:rsid w:val="00C70DC0"/>
    <w:rsid w:val="00C73106"/>
    <w:rsid w:val="00C860EC"/>
    <w:rsid w:val="00C866CE"/>
    <w:rsid w:val="00C927BE"/>
    <w:rsid w:val="00CA47AA"/>
    <w:rsid w:val="00CA7807"/>
    <w:rsid w:val="00CA7C92"/>
    <w:rsid w:val="00CB293E"/>
    <w:rsid w:val="00CB4EBE"/>
    <w:rsid w:val="00CC40CE"/>
    <w:rsid w:val="00CC6301"/>
    <w:rsid w:val="00CD4B1D"/>
    <w:rsid w:val="00CE6C68"/>
    <w:rsid w:val="00D00F33"/>
    <w:rsid w:val="00D07E55"/>
    <w:rsid w:val="00D37EB9"/>
    <w:rsid w:val="00D53728"/>
    <w:rsid w:val="00D61608"/>
    <w:rsid w:val="00D7028F"/>
    <w:rsid w:val="00D90D37"/>
    <w:rsid w:val="00D9393D"/>
    <w:rsid w:val="00DA7B01"/>
    <w:rsid w:val="00DB6FA2"/>
    <w:rsid w:val="00DB73D5"/>
    <w:rsid w:val="00DD00C9"/>
    <w:rsid w:val="00DE7DAE"/>
    <w:rsid w:val="00DF1DB3"/>
    <w:rsid w:val="00E15F8C"/>
    <w:rsid w:val="00E3079B"/>
    <w:rsid w:val="00E63AB5"/>
    <w:rsid w:val="00E672E7"/>
    <w:rsid w:val="00E86823"/>
    <w:rsid w:val="00E9205C"/>
    <w:rsid w:val="00E9627D"/>
    <w:rsid w:val="00EB1EE2"/>
    <w:rsid w:val="00EB2837"/>
    <w:rsid w:val="00EC77D1"/>
    <w:rsid w:val="00ED4FF9"/>
    <w:rsid w:val="00F06F11"/>
    <w:rsid w:val="00F20452"/>
    <w:rsid w:val="00F253C0"/>
    <w:rsid w:val="00F35240"/>
    <w:rsid w:val="00F56D32"/>
    <w:rsid w:val="00F8121F"/>
    <w:rsid w:val="00F82DFF"/>
    <w:rsid w:val="00F902C6"/>
    <w:rsid w:val="00F90FC2"/>
    <w:rsid w:val="00FD2218"/>
    <w:rsid w:val="00FE398C"/>
    <w:rsid w:val="00FF613E"/>
    <w:rsid w:val="00FF627C"/>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iPriority="99" w:unhideWhenUsed="1"/>
    <w:lsdException w:name="caption" w:semiHidden="1" w:unhideWhenUsed="1" w:qFormat="1"/>
    <w:lsdException w:name="footnote reference" w:semiHidden="1" w:uiPriority="99" w:unhideWhenUsed="1"/>
    <w:lsdException w:name="Title" w:qFormat="1"/>
    <w:lsdException w:name="Subtitle" w:qFormat="1"/>
    <w:lsdException w:name="Hyperlink" w:uiPriority="99"/>
    <w:lsdException w:name="Strong" w:qFormat="1"/>
    <w:lsdException w:name="Emphasis" w:qFormat="1"/>
    <w:lsdException w:name="HTML Preformatted"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3BE"/>
    <w:pPr>
      <w:framePr w:wrap="auto"/>
      <w:widowControl/>
      <w:autoSpaceDE/>
      <w:autoSpaceDN/>
      <w:adjustRightInd/>
      <w:ind w:left="0" w:right="0" w:firstLine="567"/>
      <w:jc w:val="both"/>
      <w:textAlignment w:val="auto"/>
    </w:pPr>
    <w:rPr>
      <w:rFonts w:cs="Times New Roman"/>
      <w:sz w:val="24"/>
      <w:szCs w:val="24"/>
      <w:rtl w:val="0"/>
      <w:cs w:val="0"/>
      <w:lang w:val="uk-UA" w:eastAsia="ru-RU"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BodyTextIndent3">
    <w:name w:val="Body Text Indent 3"/>
    <w:basedOn w:val="Normal"/>
    <w:link w:val="3"/>
    <w:uiPriority w:val="99"/>
    <w:rsid w:val="007903BE"/>
    <w:pPr>
      <w:overflowPunct w:val="0"/>
      <w:autoSpaceDE w:val="0"/>
      <w:autoSpaceDN w:val="0"/>
      <w:adjustRightInd w:val="0"/>
      <w:ind w:firstLine="709"/>
      <w:jc w:val="left"/>
    </w:pPr>
    <w:rPr>
      <w:lang w:val="ru-RU"/>
    </w:rPr>
  </w:style>
  <w:style w:type="paragraph" w:styleId="Header">
    <w:name w:val="header"/>
    <w:basedOn w:val="Normal"/>
    <w:link w:val="a"/>
    <w:uiPriority w:val="99"/>
    <w:rsid w:val="007903BE"/>
    <w:pPr>
      <w:tabs>
        <w:tab w:val="center" w:pos="4153"/>
        <w:tab w:val="right" w:pos="8306"/>
      </w:tabs>
      <w:jc w:val="both"/>
    </w:pPr>
  </w:style>
  <w:style w:type="character" w:customStyle="1" w:styleId="3">
    <w:name w:val="Основной текст с отступом 3 Знак"/>
    <w:basedOn w:val="DefaultParagraphFont"/>
    <w:link w:val="BodyTextIndent3"/>
    <w:uiPriority w:val="99"/>
    <w:semiHidden/>
    <w:locked/>
    <w:rPr>
      <w:rFonts w:cs="Times New Roman"/>
      <w:sz w:val="16"/>
      <w:szCs w:val="16"/>
      <w:rtl w:val="0"/>
      <w:cs w:val="0"/>
      <w:lang w:val="x-none" w:eastAsia="ru-RU"/>
    </w:rPr>
  </w:style>
  <w:style w:type="character" w:styleId="PageNumber">
    <w:name w:val="page number"/>
    <w:basedOn w:val="DefaultParagraphFont"/>
    <w:uiPriority w:val="99"/>
    <w:rsid w:val="007903BE"/>
    <w:rPr>
      <w:rFonts w:cs="Times New Roman"/>
      <w:rtl w:val="0"/>
      <w:cs w:val="0"/>
    </w:rPr>
  </w:style>
  <w:style w:type="character" w:customStyle="1" w:styleId="a">
    <w:name w:val="Верхний колонтитул Знак"/>
    <w:basedOn w:val="DefaultParagraphFont"/>
    <w:link w:val="Header"/>
    <w:uiPriority w:val="99"/>
    <w:semiHidden/>
    <w:locked/>
    <w:rPr>
      <w:rFonts w:cs="Times New Roman"/>
      <w:sz w:val="24"/>
      <w:szCs w:val="24"/>
      <w:rtl w:val="0"/>
      <w:cs w:val="0"/>
      <w:lang w:val="x-none" w:eastAsia="ru-RU"/>
    </w:rPr>
  </w:style>
  <w:style w:type="paragraph" w:customStyle="1" w:styleId="a0">
    <w:name w:val="Нормальний текст"/>
    <w:basedOn w:val="Normal"/>
    <w:rsid w:val="007903BE"/>
    <w:pPr>
      <w:spacing w:before="120"/>
      <w:jc w:val="left"/>
    </w:pPr>
    <w:rPr>
      <w:rFonts w:ascii="Antiqua" w:hAnsi="Antiqua" w:cs="Antiqua"/>
      <w:sz w:val="26"/>
      <w:szCs w:val="26"/>
    </w:rPr>
  </w:style>
  <w:style w:type="paragraph" w:customStyle="1" w:styleId="a5">
    <w:name w:val="a5"/>
    <w:basedOn w:val="Normal"/>
    <w:rsid w:val="007903BE"/>
    <w:pPr>
      <w:spacing w:before="100" w:beforeAutospacing="1" w:after="100" w:afterAutospacing="1"/>
      <w:ind w:firstLine="0"/>
      <w:jc w:val="left"/>
    </w:pPr>
    <w:rPr>
      <w:lang w:val="ru-RU"/>
    </w:rPr>
  </w:style>
  <w:style w:type="character" w:customStyle="1" w:styleId="rvts78">
    <w:name w:val="rvts78"/>
    <w:basedOn w:val="DefaultParagraphFont"/>
    <w:rsid w:val="007903BE"/>
    <w:rPr>
      <w:rFonts w:cs="Times New Roman"/>
      <w:rtl w:val="0"/>
      <w:cs w:val="0"/>
    </w:rPr>
  </w:style>
  <w:style w:type="paragraph" w:customStyle="1" w:styleId="CharCharCharChar">
    <w:name w:val="Char Знак Знак Char Знак Знак Char Знак Знак Char Знак Знак Знак"/>
    <w:basedOn w:val="Normal"/>
    <w:rsid w:val="007903BE"/>
    <w:pPr>
      <w:ind w:firstLine="0"/>
      <w:jc w:val="left"/>
    </w:pPr>
    <w:rPr>
      <w:rFonts w:ascii="Verdana" w:hAnsi="Verdana"/>
      <w:sz w:val="20"/>
      <w:szCs w:val="20"/>
      <w:lang w:val="en-US" w:eastAsia="en-US"/>
    </w:rPr>
  </w:style>
  <w:style w:type="paragraph" w:styleId="HTMLPreformatted">
    <w:name w:val="HTML Preformatted"/>
    <w:basedOn w:val="Normal"/>
    <w:link w:val="HTML"/>
    <w:uiPriority w:val="99"/>
    <w:rsid w:val="00790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uk-UA"/>
    </w:rPr>
  </w:style>
  <w:style w:type="paragraph" w:styleId="FootnoteText">
    <w:name w:val="footnote text"/>
    <w:basedOn w:val="Normal"/>
    <w:link w:val="a1"/>
    <w:uiPriority w:val="99"/>
    <w:rsid w:val="007903BE"/>
    <w:pPr>
      <w:ind w:firstLine="0"/>
      <w:jc w:val="left"/>
    </w:pPr>
    <w:rPr>
      <w:rFonts w:ascii="Calibri" w:hAnsi="Calibri"/>
      <w:sz w:val="20"/>
      <w:szCs w:val="20"/>
      <w:lang w:eastAsia="en-US"/>
    </w:rPr>
  </w:style>
  <w:style w:type="character" w:customStyle="1" w:styleId="HTML">
    <w:name w:val="Стандартный HTML Знак"/>
    <w:basedOn w:val="DefaultParagraphFont"/>
    <w:link w:val="HTMLPreformatted"/>
    <w:uiPriority w:val="99"/>
    <w:locked/>
    <w:rsid w:val="007903BE"/>
    <w:rPr>
      <w:rFonts w:ascii="Courier New" w:hAnsi="Courier New" w:cs="Courier New"/>
      <w:rtl w:val="0"/>
      <w:cs w:val="0"/>
      <w:lang w:val="uk-UA" w:eastAsia="uk-UA" w:bidi="ar-SA"/>
    </w:rPr>
  </w:style>
  <w:style w:type="character" w:styleId="FootnoteReference">
    <w:name w:val="footnote reference"/>
    <w:basedOn w:val="DefaultParagraphFont"/>
    <w:uiPriority w:val="99"/>
    <w:semiHidden/>
    <w:rsid w:val="007903BE"/>
    <w:rPr>
      <w:rFonts w:cs="Times New Roman"/>
      <w:vertAlign w:val="superscript"/>
      <w:rtl w:val="0"/>
      <w:cs w:val="0"/>
    </w:rPr>
  </w:style>
  <w:style w:type="character" w:customStyle="1" w:styleId="a1">
    <w:name w:val="Текст сноски Знак"/>
    <w:basedOn w:val="DefaultParagraphFont"/>
    <w:link w:val="FootnoteText"/>
    <w:uiPriority w:val="99"/>
    <w:locked/>
    <w:rsid w:val="007903BE"/>
    <w:rPr>
      <w:rFonts w:ascii="Calibri" w:hAnsi="Calibri" w:cs="Times New Roman"/>
      <w:rtl w:val="0"/>
      <w:cs w:val="0"/>
      <w:lang w:val="uk-UA" w:eastAsia="en-US" w:bidi="ar-SA"/>
    </w:rPr>
  </w:style>
  <w:style w:type="paragraph" w:customStyle="1" w:styleId="1">
    <w:name w:val="Абзац списка1"/>
    <w:basedOn w:val="Normal"/>
    <w:rsid w:val="007903BE"/>
    <w:pPr>
      <w:spacing w:after="200" w:line="276" w:lineRule="auto"/>
      <w:ind w:left="720" w:firstLine="0"/>
      <w:jc w:val="left"/>
    </w:pPr>
    <w:rPr>
      <w:rFonts w:ascii="Calibri" w:hAnsi="Calibri"/>
      <w:sz w:val="22"/>
      <w:szCs w:val="22"/>
      <w:lang w:eastAsia="en-US"/>
    </w:rPr>
  </w:style>
  <w:style w:type="character" w:customStyle="1" w:styleId="sb8d990e2">
    <w:name w:val="sb8d990e2"/>
    <w:basedOn w:val="DefaultParagraphFont"/>
    <w:rsid w:val="007903BE"/>
    <w:rPr>
      <w:rFonts w:cs="Times New Roman"/>
      <w:rtl w:val="0"/>
      <w:cs w:val="0"/>
    </w:rPr>
  </w:style>
  <w:style w:type="paragraph" w:styleId="ListParagraph">
    <w:name w:val="List Paragraph"/>
    <w:basedOn w:val="Normal"/>
    <w:uiPriority w:val="99"/>
    <w:qFormat/>
    <w:rsid w:val="003B6E91"/>
    <w:pPr>
      <w:spacing w:after="200" w:line="276" w:lineRule="auto"/>
      <w:ind w:left="720" w:firstLine="0"/>
      <w:contextualSpacing/>
      <w:jc w:val="left"/>
    </w:pPr>
    <w:rPr>
      <w:rFonts w:ascii="Calibri" w:hAnsi="Calibri"/>
      <w:sz w:val="22"/>
      <w:szCs w:val="22"/>
      <w:lang w:eastAsia="en-US"/>
    </w:rPr>
  </w:style>
  <w:style w:type="paragraph" w:styleId="BalloonText">
    <w:name w:val="Balloon Text"/>
    <w:basedOn w:val="Normal"/>
    <w:link w:val="a2"/>
    <w:uiPriority w:val="99"/>
    <w:rsid w:val="00AE76C2"/>
    <w:pPr>
      <w:jc w:val="both"/>
    </w:pPr>
    <w:rPr>
      <w:rFonts w:ascii="Tahoma" w:hAnsi="Tahoma" w:cs="Tahoma"/>
      <w:sz w:val="16"/>
      <w:szCs w:val="16"/>
    </w:rPr>
  </w:style>
  <w:style w:type="paragraph" w:styleId="Footer">
    <w:name w:val="footer"/>
    <w:basedOn w:val="Normal"/>
    <w:link w:val="a3"/>
    <w:uiPriority w:val="99"/>
    <w:rsid w:val="00AE76C2"/>
    <w:pPr>
      <w:tabs>
        <w:tab w:val="center" w:pos="4819"/>
        <w:tab w:val="right" w:pos="9639"/>
      </w:tabs>
      <w:jc w:val="both"/>
    </w:pPr>
  </w:style>
  <w:style w:type="character" w:customStyle="1" w:styleId="a2">
    <w:name w:val="Текст выноски Знак"/>
    <w:basedOn w:val="DefaultParagraphFont"/>
    <w:link w:val="BalloonText"/>
    <w:uiPriority w:val="99"/>
    <w:locked/>
    <w:rsid w:val="00AE76C2"/>
    <w:rPr>
      <w:rFonts w:ascii="Tahoma" w:hAnsi="Tahoma" w:cs="Tahoma"/>
      <w:sz w:val="16"/>
      <w:szCs w:val="16"/>
      <w:rtl w:val="0"/>
      <w:cs w:val="0"/>
      <w:lang w:val="x-none" w:eastAsia="ru-RU"/>
    </w:rPr>
  </w:style>
  <w:style w:type="paragraph" w:customStyle="1" w:styleId="rvps2">
    <w:name w:val="rvps2"/>
    <w:basedOn w:val="Normal"/>
    <w:rsid w:val="00E9205C"/>
    <w:pPr>
      <w:spacing w:before="100" w:beforeAutospacing="1" w:after="100" w:afterAutospacing="1"/>
      <w:ind w:firstLine="0"/>
      <w:jc w:val="left"/>
    </w:pPr>
    <w:rPr>
      <w:lang w:val="ru-RU"/>
    </w:rPr>
  </w:style>
  <w:style w:type="character" w:customStyle="1" w:styleId="a3">
    <w:name w:val="Нижний колонтитул Знак"/>
    <w:basedOn w:val="DefaultParagraphFont"/>
    <w:link w:val="Footer"/>
    <w:uiPriority w:val="99"/>
    <w:locked/>
    <w:rsid w:val="00AE76C2"/>
    <w:rPr>
      <w:rFonts w:cs="Times New Roman"/>
      <w:sz w:val="24"/>
      <w:szCs w:val="24"/>
      <w:rtl w:val="0"/>
      <w:cs w:val="0"/>
      <w:lang w:val="x-none" w:eastAsia="ru-RU"/>
    </w:rPr>
  </w:style>
  <w:style w:type="character" w:customStyle="1" w:styleId="apple-converted-space">
    <w:name w:val="apple-converted-space"/>
    <w:rsid w:val="00E9205C"/>
  </w:style>
  <w:style w:type="character" w:styleId="Hyperlink">
    <w:name w:val="Hyperlink"/>
    <w:basedOn w:val="DefaultParagraphFont"/>
    <w:uiPriority w:val="99"/>
    <w:unhideWhenUsed/>
    <w:rsid w:val="00DB73D5"/>
    <w:rPr>
      <w:rFonts w:cs="Times New Roman"/>
      <w:color w:val="0000FF"/>
      <w:u w:val="single"/>
      <w:rtl w:val="0"/>
      <w:cs w:val="0"/>
    </w:rPr>
  </w:style>
  <w:style w:type="paragraph" w:customStyle="1" w:styleId="a4">
    <w:name w:val="Знак Знак Знак Знак"/>
    <w:basedOn w:val="Normal"/>
    <w:rsid w:val="00EB1EE2"/>
    <w:pPr>
      <w:ind w:firstLine="0"/>
      <w:jc w:val="lef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TotalTime>
  <Pages>12</Pages>
  <Words>4722</Words>
  <Characters>26921</Characters>
  <Application>Microsoft Office Word</Application>
  <DocSecurity>0</DocSecurity>
  <Lines>0</Lines>
  <Paragraphs>0</Paragraphs>
  <ScaleCrop>false</ScaleCrop>
  <Company>Microsoft</Company>
  <LinksUpToDate>false</LinksUpToDate>
  <CharactersWithSpaces>31580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Воловицька Ірина Альбертівна</dc:creator>
  <cp:lastModifiedBy>olga Lytvynenko</cp:lastModifiedBy>
  <cp:revision>2</cp:revision>
  <cp:lastPrinted>2020-01-14T13:33:00Z</cp:lastPrinted>
  <dcterms:created xsi:type="dcterms:W3CDTF">2020-01-31T13:45:00Z</dcterms:created>
  <dcterms:modified xsi:type="dcterms:W3CDTF">2020-01-31T13:45:00Z</dcterms:modified>
</cp:coreProperties>
</file>