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2B53D3" w:rsidRPr="004F402D" w:rsidP="00F44363">
      <w:pPr>
        <w:pStyle w:val="a1"/>
        <w:rPr>
          <w:rFonts w:ascii="Times New Roman" w:hAnsi="Times New Roman"/>
          <w:sz w:val="28"/>
          <w:szCs w:val="28"/>
        </w:rPr>
      </w:pPr>
      <w:r w:rsidRPr="004F402D">
        <w:rPr>
          <w:rFonts w:ascii="Times New Roman" w:hAnsi="Times New Roman"/>
          <w:sz w:val="28"/>
          <w:szCs w:val="28"/>
        </w:rPr>
        <w:t>ПРОЕКТ</w:t>
      </w:r>
    </w:p>
    <w:p w:rsidR="002B53D3" w:rsidRPr="004F402D" w:rsidP="002B53D3">
      <w:pPr>
        <w:ind w:left="5040"/>
        <w:rPr>
          <w:rFonts w:ascii="Times New Roman" w:hAnsi="Times New Roman"/>
          <w:sz w:val="28"/>
          <w:szCs w:val="28"/>
        </w:rPr>
      </w:pPr>
      <w:r w:rsidRPr="004F402D">
        <w:rPr>
          <w:rFonts w:ascii="Times New Roman" w:hAnsi="Times New Roman"/>
          <w:sz w:val="28"/>
          <w:szCs w:val="28"/>
        </w:rPr>
        <w:t xml:space="preserve">Вноситься </w:t>
        <w:br/>
        <w:t>Кабінетом Міністрів України</w:t>
      </w:r>
    </w:p>
    <w:p w:rsidR="002B53D3" w:rsidRPr="00757FFD" w:rsidP="00757FFD">
      <w:pPr>
        <w:spacing w:before="240" w:after="120"/>
        <w:jc w:val="right"/>
        <w:rPr>
          <w:rFonts w:ascii="Times New Roman" w:hAnsi="Times New Roman"/>
          <w:sz w:val="28"/>
          <w:szCs w:val="28"/>
        </w:rPr>
      </w:pPr>
      <w:r w:rsidR="000C703E">
        <w:rPr>
          <w:rFonts w:ascii="Times New Roman" w:hAnsi="Times New Roman"/>
          <w:sz w:val="28"/>
          <w:szCs w:val="28"/>
        </w:rPr>
        <w:t>О</w:t>
      </w:r>
      <w:r w:rsidRPr="00757FFD">
        <w:rPr>
          <w:rFonts w:ascii="Times New Roman" w:hAnsi="Times New Roman"/>
          <w:sz w:val="28"/>
          <w:szCs w:val="28"/>
        </w:rPr>
        <w:t xml:space="preserve">. </w:t>
      </w:r>
      <w:r w:rsidR="000C703E">
        <w:rPr>
          <w:rFonts w:ascii="Times New Roman" w:hAnsi="Times New Roman"/>
          <w:sz w:val="28"/>
          <w:szCs w:val="28"/>
        </w:rPr>
        <w:t>ГОНЧАРУК</w:t>
      </w:r>
    </w:p>
    <w:p w:rsidR="002B53D3" w:rsidRPr="004F402D" w:rsidP="002B53D3">
      <w:pPr>
        <w:spacing w:before="240" w:after="120"/>
        <w:ind w:firstLine="5579"/>
        <w:jc w:val="right"/>
      </w:pPr>
      <w:r>
        <w:rPr>
          <w:rFonts w:ascii="Times New Roman" w:hAnsi="Times New Roman"/>
          <w:sz w:val="28"/>
          <w:szCs w:val="28"/>
        </w:rPr>
        <w:t>“</w:t>
      </w:r>
      <w:r w:rsidR="00D56D05">
        <w:rPr>
          <w:rFonts w:ascii="Times New Roman" w:hAnsi="Times New Roman"/>
          <w:sz w:val="28"/>
          <w:szCs w:val="28"/>
        </w:rPr>
        <w:t xml:space="preserve">     </w:t>
      </w:r>
      <w:r>
        <w:rPr>
          <w:rFonts w:ascii="Times New Roman" w:hAnsi="Times New Roman"/>
          <w:sz w:val="28"/>
          <w:szCs w:val="28"/>
        </w:rPr>
        <w:t xml:space="preserve">” </w:t>
        <w:tab/>
        <w:tab/>
        <w:tab/>
        <w:t>20</w:t>
      </w:r>
      <w:r w:rsidR="005073BE">
        <w:rPr>
          <w:rFonts w:ascii="Times New Roman" w:hAnsi="Times New Roman"/>
          <w:sz w:val="28"/>
          <w:szCs w:val="28"/>
        </w:rPr>
        <w:t>20</w:t>
      </w:r>
      <w:r>
        <w:rPr>
          <w:rFonts w:ascii="Times New Roman" w:hAnsi="Times New Roman"/>
          <w:sz w:val="28"/>
          <w:szCs w:val="28"/>
        </w:rPr>
        <w:t xml:space="preserve"> р.</w:t>
      </w:r>
    </w:p>
    <w:p w:rsidR="002B53D3" w:rsidRPr="00771066" w:rsidP="002B53D3">
      <w:pPr>
        <w:pStyle w:val="a0"/>
        <w:spacing w:before="480"/>
        <w:rPr>
          <w:rFonts w:ascii="Times New Roman" w:hAnsi="Times New Roman"/>
        </w:rPr>
      </w:pPr>
      <w:r w:rsidRPr="00771066">
        <w:rPr>
          <w:rFonts w:ascii="Times New Roman" w:hAnsi="Times New Roman"/>
        </w:rPr>
        <w:t>Закон УкраЇни</w:t>
      </w:r>
    </w:p>
    <w:p w:rsidR="00D56D05" w:rsidRPr="00D56D05" w:rsidP="00D56D05">
      <w:pPr>
        <w:spacing w:before="240"/>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Про внесення змін до Податкового кодексу України </w:t>
      </w:r>
      <w:r w:rsidR="00D362F5">
        <w:rPr>
          <w:rFonts w:ascii="Times New Roman" w:eastAsia="Calibri" w:hAnsi="Times New Roman"/>
          <w:sz w:val="28"/>
          <w:szCs w:val="28"/>
          <w:lang w:eastAsia="en-US"/>
        </w:rPr>
        <w:br/>
      </w:r>
      <w:r>
        <w:rPr>
          <w:rFonts w:ascii="Times New Roman" w:eastAsia="Calibri" w:hAnsi="Times New Roman"/>
          <w:sz w:val="28"/>
          <w:szCs w:val="28"/>
          <w:lang w:eastAsia="en-US"/>
        </w:rPr>
        <w:t xml:space="preserve">щодо стимулювання ефективного користування </w:t>
      </w:r>
      <w:r w:rsidR="00D362F5">
        <w:rPr>
          <w:rFonts w:ascii="Times New Roman" w:eastAsia="Calibri" w:hAnsi="Times New Roman"/>
          <w:sz w:val="28"/>
          <w:szCs w:val="28"/>
          <w:lang w:eastAsia="en-US"/>
        </w:rPr>
        <w:br/>
      </w:r>
      <w:r>
        <w:rPr>
          <w:rFonts w:ascii="Times New Roman" w:eastAsia="Calibri" w:hAnsi="Times New Roman"/>
          <w:sz w:val="28"/>
          <w:szCs w:val="28"/>
          <w:lang w:eastAsia="en-US"/>
        </w:rPr>
        <w:t xml:space="preserve">ділянками нафтогазоносних надр </w:t>
        <w:br/>
      </w:r>
      <w:r w:rsidRPr="00D56D05">
        <w:rPr>
          <w:rFonts w:ascii="Times New Roman" w:eastAsia="Calibri" w:hAnsi="Times New Roman"/>
          <w:sz w:val="28"/>
          <w:szCs w:val="28"/>
          <w:lang w:eastAsia="en-US"/>
        </w:rPr>
        <w:t>_________________</w:t>
      </w:r>
      <w:r w:rsidR="00D362F5">
        <w:rPr>
          <w:rFonts w:ascii="Times New Roman" w:eastAsia="Calibri" w:hAnsi="Times New Roman"/>
          <w:sz w:val="28"/>
          <w:szCs w:val="28"/>
          <w:lang w:eastAsia="en-US"/>
        </w:rPr>
        <w:t>______________________</w:t>
      </w:r>
      <w:r w:rsidR="00D362F5">
        <w:rPr>
          <w:rFonts w:ascii="Times New Roman" w:eastAsia="Calibri" w:hAnsi="Times New Roman"/>
          <w:sz w:val="28"/>
          <w:szCs w:val="28"/>
          <w:lang w:eastAsia="en-US"/>
        </w:rPr>
        <w:t>_______</w:t>
      </w:r>
    </w:p>
    <w:p w:rsidR="00D56D05" w:rsidP="00D56D05">
      <w:pPr>
        <w:jc w:val="center"/>
        <w:rPr>
          <w:rFonts w:ascii="Times New Roman" w:eastAsia="Calibri" w:hAnsi="Times New Roman"/>
          <w:sz w:val="28"/>
          <w:szCs w:val="28"/>
          <w:lang w:eastAsia="en-US"/>
        </w:rPr>
      </w:pPr>
      <w:bookmarkStart w:id="0" w:name="o8"/>
      <w:bookmarkEnd w:id="0"/>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Верховна Рада України п</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о</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с</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т</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а</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н</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о</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в</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л</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я</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є:</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І. Внести до Податкового кодексу України (Відомості Верховної Ради України, 2011</w:t>
      </w:r>
      <w:r w:rsidR="00D362F5">
        <w:rPr>
          <w:rFonts w:ascii="Times New Roman" w:eastAsia="Calibri" w:hAnsi="Times New Roman"/>
          <w:sz w:val="28"/>
          <w:szCs w:val="28"/>
          <w:lang w:eastAsia="en-US"/>
        </w:rPr>
        <w:t xml:space="preserve"> р.</w:t>
      </w:r>
      <w:r w:rsidRPr="00D56D05">
        <w:rPr>
          <w:rFonts w:ascii="Times New Roman" w:eastAsia="Calibri" w:hAnsi="Times New Roman"/>
          <w:sz w:val="28"/>
          <w:szCs w:val="28"/>
          <w:lang w:eastAsia="en-US"/>
        </w:rPr>
        <w:t>,</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 13, ст.</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112) такі зміни: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1. </w:t>
      </w:r>
      <w:r w:rsidRPr="00D56D05" w:rsidR="00D362F5">
        <w:rPr>
          <w:rFonts w:ascii="Times New Roman" w:eastAsia="Calibri" w:hAnsi="Times New Roman"/>
          <w:sz w:val="28"/>
          <w:szCs w:val="28"/>
          <w:lang w:eastAsia="en-US"/>
        </w:rPr>
        <w:t xml:space="preserve">Пункт </w:t>
      </w:r>
      <w:r w:rsidRPr="00D56D05">
        <w:rPr>
          <w:rFonts w:ascii="Times New Roman" w:eastAsia="Calibri" w:hAnsi="Times New Roman"/>
          <w:sz w:val="28"/>
          <w:szCs w:val="28"/>
          <w:lang w:eastAsia="en-US"/>
        </w:rPr>
        <w:t xml:space="preserve">9.1 статті 9 </w:t>
      </w:r>
      <w:r w:rsidR="00D362F5">
        <w:rPr>
          <w:rFonts w:ascii="Times New Roman" w:eastAsia="Calibri" w:hAnsi="Times New Roman"/>
          <w:sz w:val="28"/>
          <w:szCs w:val="28"/>
          <w:lang w:eastAsia="en-US"/>
        </w:rPr>
        <w:t>д</w:t>
      </w:r>
      <w:r w:rsidRPr="00D56D05" w:rsidR="00D362F5">
        <w:rPr>
          <w:rFonts w:ascii="Times New Roman" w:eastAsia="Calibri" w:hAnsi="Times New Roman"/>
          <w:sz w:val="28"/>
          <w:szCs w:val="28"/>
          <w:lang w:eastAsia="en-US"/>
        </w:rPr>
        <w:t xml:space="preserve">оповнити </w:t>
      </w:r>
      <w:r w:rsidRPr="00D56D05">
        <w:rPr>
          <w:rFonts w:ascii="Times New Roman" w:eastAsia="Calibri" w:hAnsi="Times New Roman"/>
          <w:sz w:val="28"/>
          <w:szCs w:val="28"/>
          <w:lang w:eastAsia="en-US"/>
        </w:rPr>
        <w:t>підпункт</w:t>
      </w:r>
      <w:r w:rsidR="005073BE">
        <w:rPr>
          <w:rFonts w:ascii="Times New Roman" w:eastAsia="Calibri" w:hAnsi="Times New Roman"/>
          <w:sz w:val="28"/>
          <w:szCs w:val="28"/>
          <w:lang w:eastAsia="en-US"/>
        </w:rPr>
        <w:t>ом 9.1.8 такого змісту: “9.1.8. </w:t>
      </w:r>
      <w:r w:rsidRPr="00D56D05">
        <w:rPr>
          <w:rFonts w:ascii="Times New Roman" w:eastAsia="Calibri" w:hAnsi="Times New Roman"/>
          <w:sz w:val="28"/>
          <w:szCs w:val="28"/>
          <w:lang w:eastAsia="en-US"/>
        </w:rPr>
        <w:t>плата за користування д</w:t>
      </w:r>
      <w:r w:rsidR="00D362F5">
        <w:rPr>
          <w:rFonts w:ascii="Times New Roman" w:eastAsia="Calibri" w:hAnsi="Times New Roman"/>
          <w:sz w:val="28"/>
          <w:szCs w:val="28"/>
          <w:lang w:eastAsia="en-US"/>
        </w:rPr>
        <w:t>ілянками нафтогазоносних надр.”.</w:t>
      </w:r>
    </w:p>
    <w:p w:rsid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2. </w:t>
      </w:r>
      <w:r w:rsidR="00D362F5">
        <w:rPr>
          <w:rFonts w:ascii="Times New Roman" w:eastAsia="Calibri" w:hAnsi="Times New Roman"/>
          <w:sz w:val="28"/>
          <w:szCs w:val="28"/>
          <w:lang w:eastAsia="en-US"/>
        </w:rPr>
        <w:t>П</w:t>
      </w:r>
      <w:r w:rsidRPr="00D56D05">
        <w:rPr>
          <w:rFonts w:ascii="Times New Roman" w:eastAsia="Calibri" w:hAnsi="Times New Roman"/>
          <w:sz w:val="28"/>
          <w:szCs w:val="28"/>
          <w:lang w:eastAsia="en-US"/>
        </w:rPr>
        <w:t>ідпункт 12.2.1 пункту 12.2 статті 12</w:t>
      </w:r>
      <w:r w:rsidR="00D362F5">
        <w:rPr>
          <w:rFonts w:ascii="Times New Roman" w:eastAsia="Calibri" w:hAnsi="Times New Roman"/>
          <w:sz w:val="28"/>
          <w:szCs w:val="28"/>
          <w:lang w:eastAsia="en-US"/>
        </w:rPr>
        <w:t xml:space="preserve"> після</w:t>
      </w:r>
      <w:r w:rsidRPr="00D56D05">
        <w:rPr>
          <w:rFonts w:ascii="Times New Roman" w:eastAsia="Calibri" w:hAnsi="Times New Roman"/>
          <w:sz w:val="28"/>
          <w:szCs w:val="28"/>
          <w:lang w:eastAsia="en-US"/>
        </w:rPr>
        <w:t xml:space="preserve"> сл</w:t>
      </w:r>
      <w:r w:rsidR="00D362F5">
        <w:rPr>
          <w:rFonts w:ascii="Times New Roman" w:eastAsia="Calibri" w:hAnsi="Times New Roman"/>
          <w:sz w:val="28"/>
          <w:szCs w:val="28"/>
          <w:lang w:eastAsia="en-US"/>
        </w:rPr>
        <w:t>і</w:t>
      </w:r>
      <w:r w:rsidRPr="00D56D05">
        <w:rPr>
          <w:rFonts w:ascii="Times New Roman" w:eastAsia="Calibri" w:hAnsi="Times New Roman"/>
          <w:sz w:val="28"/>
          <w:szCs w:val="28"/>
          <w:lang w:eastAsia="en-US"/>
        </w:rPr>
        <w:t xml:space="preserve">в </w:t>
      </w:r>
      <w:r w:rsidR="00D362F5">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загальнодержавного значення” </w:t>
      </w:r>
      <w:r w:rsidR="00D362F5">
        <w:rPr>
          <w:rFonts w:ascii="Times New Roman" w:eastAsia="Calibri" w:hAnsi="Times New Roman"/>
          <w:sz w:val="28"/>
          <w:szCs w:val="28"/>
          <w:lang w:eastAsia="en-US"/>
        </w:rPr>
        <w:t>доповнити</w:t>
      </w:r>
      <w:r w:rsidRPr="00D56D05">
        <w:rPr>
          <w:rFonts w:ascii="Times New Roman" w:eastAsia="Calibri" w:hAnsi="Times New Roman"/>
          <w:sz w:val="28"/>
          <w:szCs w:val="28"/>
          <w:lang w:eastAsia="en-US"/>
        </w:rPr>
        <w:t xml:space="preserve"> словами </w:t>
      </w:r>
      <w:r w:rsidR="00D362F5">
        <w:rPr>
          <w:rFonts w:ascii="Times New Roman" w:eastAsia="Calibri" w:hAnsi="Times New Roman"/>
          <w:sz w:val="28"/>
          <w:szCs w:val="28"/>
          <w:lang w:eastAsia="en-US"/>
        </w:rPr>
        <w:t>“</w:t>
      </w:r>
      <w:r w:rsidRPr="00D56D05">
        <w:rPr>
          <w:rFonts w:ascii="Times New Roman" w:eastAsia="Calibri" w:hAnsi="Times New Roman"/>
          <w:sz w:val="28"/>
          <w:szCs w:val="28"/>
          <w:lang w:eastAsia="en-US"/>
        </w:rPr>
        <w:t>та плати за користування ділянками нафтогазоносних надр”</w:t>
      </w:r>
      <w:r w:rsidR="00D362F5">
        <w:rPr>
          <w:rFonts w:ascii="Times New Roman" w:eastAsia="Calibri" w:hAnsi="Times New Roman"/>
          <w:sz w:val="28"/>
          <w:szCs w:val="28"/>
          <w:lang w:eastAsia="en-US"/>
        </w:rPr>
        <w:t>.</w:t>
      </w:r>
    </w:p>
    <w:p w:rsidR="00D362F5" w:rsidRPr="00D56D05" w:rsidP="00D56D05">
      <w:pPr>
        <w:pStyle w:val="a"/>
        <w:rPr>
          <w:rFonts w:ascii="Times New Roman" w:eastAsia="Calibri" w:hAnsi="Times New Roman"/>
          <w:sz w:val="28"/>
          <w:szCs w:val="28"/>
          <w:lang w:eastAsia="en-US"/>
        </w:rPr>
      </w:pPr>
      <w:r>
        <w:rPr>
          <w:rFonts w:ascii="Times New Roman" w:eastAsia="Calibri" w:hAnsi="Times New Roman"/>
          <w:sz w:val="28"/>
          <w:szCs w:val="28"/>
          <w:lang w:eastAsia="en-US"/>
        </w:rPr>
        <w:t>3. Пункт 14.1 статті 14 доповнити підпунктами 14.1.91</w:t>
      </w:r>
      <w:r w:rsidRPr="00D362F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 14.</w:t>
      </w:r>
      <w:r>
        <w:rPr>
          <w:rFonts w:ascii="Times New Roman" w:eastAsia="Calibri" w:hAnsi="Times New Roman"/>
          <w:sz w:val="28"/>
          <w:szCs w:val="28"/>
          <w:lang w:eastAsia="en-US"/>
        </w:rPr>
        <w:t>1.135</w:t>
      </w:r>
      <w:r w:rsidRPr="00D362F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 14.1.149</w:t>
      </w:r>
      <w:r w:rsidRPr="00D362F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 xml:space="preserve"> </w:t>
      </w:r>
      <w:r w:rsidR="005073BE">
        <w:rPr>
          <w:rFonts w:ascii="Times New Roman" w:eastAsia="Calibri" w:hAnsi="Times New Roman"/>
          <w:sz w:val="28"/>
          <w:szCs w:val="28"/>
          <w:lang w:eastAsia="en-US"/>
        </w:rPr>
        <w:t>і</w:t>
      </w:r>
      <w:r>
        <w:rPr>
          <w:rFonts w:ascii="Times New Roman" w:eastAsia="Calibri" w:hAnsi="Times New Roman"/>
          <w:sz w:val="28"/>
          <w:szCs w:val="28"/>
          <w:lang w:eastAsia="en-US"/>
        </w:rPr>
        <w:t xml:space="preserve"> 14.1.217</w:t>
      </w:r>
      <w:r w:rsidRPr="00D362F5">
        <w:rPr>
          <w:rFonts w:ascii="Times New Roman" w:eastAsia="Calibri" w:hAnsi="Times New Roman"/>
          <w:sz w:val="28"/>
          <w:szCs w:val="28"/>
          <w:vertAlign w:val="superscript"/>
          <w:lang w:eastAsia="en-US"/>
        </w:rPr>
        <w:t>1</w:t>
      </w:r>
      <w:r>
        <w:rPr>
          <w:rFonts w:ascii="Times New Roman" w:eastAsia="Calibri" w:hAnsi="Times New Roman"/>
          <w:sz w:val="28"/>
          <w:szCs w:val="28"/>
          <w:lang w:eastAsia="en-US"/>
        </w:rPr>
        <w:t xml:space="preserve"> такого змісту:</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“14.1.</w:t>
      </w:r>
      <w:r w:rsidR="00D362F5">
        <w:rPr>
          <w:rFonts w:ascii="Times New Roman" w:eastAsia="Calibri" w:hAnsi="Times New Roman"/>
          <w:sz w:val="28"/>
          <w:szCs w:val="28"/>
          <w:lang w:eastAsia="en-US"/>
        </w:rPr>
        <w:t>91</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w:t>
      </w:r>
      <w:r w:rsidR="00D362F5">
        <w:rPr>
          <w:rFonts w:ascii="Times New Roman" w:eastAsia="Calibri" w:hAnsi="Times New Roman"/>
          <w:sz w:val="28"/>
          <w:szCs w:val="28"/>
          <w:lang w:eastAsia="en-US"/>
        </w:rPr>
        <w:t>терміни “</w:t>
      </w:r>
      <w:r w:rsidRPr="00D56D05">
        <w:rPr>
          <w:rFonts w:ascii="Times New Roman" w:eastAsia="Calibri" w:hAnsi="Times New Roman"/>
          <w:sz w:val="28"/>
          <w:szCs w:val="28"/>
          <w:lang w:eastAsia="en-US"/>
        </w:rPr>
        <w:t>ділянка нафтогазоносних надр</w:t>
      </w:r>
      <w:r w:rsidR="00D362F5">
        <w:rPr>
          <w:rFonts w:ascii="Times New Roman" w:eastAsia="Calibri" w:hAnsi="Times New Roman"/>
          <w:sz w:val="28"/>
          <w:szCs w:val="28"/>
          <w:lang w:eastAsia="en-US"/>
        </w:rPr>
        <w:t>”, “</w:t>
      </w:r>
      <w:r w:rsidRPr="00D56D05" w:rsidR="00D362F5">
        <w:rPr>
          <w:rFonts w:ascii="Times New Roman" w:eastAsia="Calibri" w:hAnsi="Times New Roman"/>
          <w:sz w:val="28"/>
          <w:szCs w:val="28"/>
          <w:lang w:eastAsia="en-US"/>
        </w:rPr>
        <w:t>користувач нафтогазоносними надрами</w:t>
      </w:r>
      <w:r w:rsidR="00D362F5">
        <w:rPr>
          <w:rFonts w:ascii="Times New Roman" w:eastAsia="Calibri" w:hAnsi="Times New Roman"/>
          <w:sz w:val="28"/>
          <w:szCs w:val="28"/>
          <w:lang w:eastAsia="en-US"/>
        </w:rPr>
        <w:t xml:space="preserve">” вживаються </w:t>
      </w:r>
      <w:r w:rsidR="005073BE">
        <w:rPr>
          <w:rFonts w:ascii="Times New Roman" w:eastAsia="Calibri" w:hAnsi="Times New Roman"/>
          <w:sz w:val="28"/>
          <w:szCs w:val="28"/>
          <w:lang w:eastAsia="en-US"/>
        </w:rPr>
        <w:t>в значенні</w:t>
      </w:r>
      <w:r w:rsidR="00D362F5">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w:t>
      </w:r>
      <w:r w:rsidR="00CC1791">
        <w:rPr>
          <w:rFonts w:ascii="Times New Roman" w:eastAsia="Calibri" w:hAnsi="Times New Roman"/>
          <w:sz w:val="28"/>
          <w:szCs w:val="28"/>
          <w:lang w:eastAsia="en-US"/>
        </w:rPr>
        <w:t xml:space="preserve">наведеному </w:t>
      </w:r>
      <w:r w:rsidR="005073BE">
        <w:rPr>
          <w:rFonts w:ascii="Times New Roman" w:eastAsia="Calibri" w:hAnsi="Times New Roman"/>
          <w:sz w:val="28"/>
          <w:szCs w:val="28"/>
          <w:lang w:eastAsia="en-US"/>
        </w:rPr>
        <w:t>в</w:t>
      </w:r>
      <w:r w:rsidRPr="00D56D05">
        <w:rPr>
          <w:rFonts w:ascii="Times New Roman" w:eastAsia="Calibri" w:hAnsi="Times New Roman"/>
          <w:sz w:val="28"/>
          <w:szCs w:val="28"/>
          <w:lang w:eastAsia="en-US"/>
        </w:rPr>
        <w:t xml:space="preserve"> Зако</w:t>
      </w:r>
      <w:r w:rsidR="00D362F5">
        <w:rPr>
          <w:rFonts w:ascii="Times New Roman" w:eastAsia="Calibri" w:hAnsi="Times New Roman"/>
          <w:sz w:val="28"/>
          <w:szCs w:val="28"/>
          <w:lang w:eastAsia="en-US"/>
        </w:rPr>
        <w:t>н</w:t>
      </w:r>
      <w:r w:rsidR="005073BE">
        <w:rPr>
          <w:rFonts w:ascii="Times New Roman" w:eastAsia="Calibri" w:hAnsi="Times New Roman"/>
          <w:sz w:val="28"/>
          <w:szCs w:val="28"/>
          <w:lang w:eastAsia="en-US"/>
        </w:rPr>
        <w:t>і</w:t>
      </w:r>
      <w:r w:rsidR="00D362F5">
        <w:rPr>
          <w:rFonts w:ascii="Times New Roman" w:eastAsia="Calibri" w:hAnsi="Times New Roman"/>
          <w:sz w:val="28"/>
          <w:szCs w:val="28"/>
          <w:lang w:eastAsia="en-US"/>
        </w:rPr>
        <w:t xml:space="preserve"> України “Про нафту і газ”;”;</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“14.1.135</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оподаткування для цілей розділу XI</w:t>
      </w:r>
      <w:r w:rsidRPr="00D362F5" w:rsidR="00D362F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цього Кодексу </w:t>
      </w:r>
      <w:r w:rsidR="00D362F5">
        <w:rPr>
          <w:rFonts w:ascii="Times New Roman" w:eastAsia="Calibri" w:hAnsi="Times New Roman"/>
          <w:sz w:val="28"/>
          <w:szCs w:val="28"/>
          <w:lang w:eastAsia="en-US"/>
        </w:rPr>
        <w:t>—</w:t>
      </w:r>
      <w:r w:rsidR="005073BE">
        <w:rPr>
          <w:rFonts w:ascii="Times New Roman" w:eastAsia="Calibri" w:hAnsi="Times New Roman"/>
          <w:sz w:val="28"/>
          <w:szCs w:val="28"/>
          <w:lang w:eastAsia="en-US"/>
        </w:rPr>
        <w:t xml:space="preserve"> </w:t>
      </w:r>
      <w:r w:rsidR="00D362F5">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плат</w:t>
      </w:r>
      <w:r w:rsidR="00D362F5">
        <w:rPr>
          <w:rFonts w:ascii="Times New Roman" w:eastAsia="Calibri" w:hAnsi="Times New Roman"/>
          <w:sz w:val="28"/>
          <w:szCs w:val="28"/>
          <w:lang w:eastAsia="en-US"/>
        </w:rPr>
        <w:t>а</w:t>
      </w:r>
      <w:r w:rsidRPr="00D56D05">
        <w:rPr>
          <w:rFonts w:ascii="Times New Roman" w:eastAsia="Calibri" w:hAnsi="Times New Roman"/>
          <w:sz w:val="28"/>
          <w:szCs w:val="28"/>
          <w:lang w:eastAsia="en-US"/>
        </w:rPr>
        <w:t xml:space="preserve"> за користування д</w:t>
      </w:r>
      <w:r w:rsidR="005073BE">
        <w:rPr>
          <w:rFonts w:ascii="Times New Roman" w:eastAsia="Calibri" w:hAnsi="Times New Roman"/>
          <w:sz w:val="28"/>
          <w:szCs w:val="28"/>
          <w:lang w:eastAsia="en-US"/>
        </w:rPr>
        <w:t>ілянками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“14.1.149</w:t>
      </w:r>
      <w:r w:rsidRPr="00D362F5" w:rsidR="00D362F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платник </w:t>
      </w:r>
      <w:r w:rsidR="00D362F5">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xml:space="preserve"> для цілей розділу XI</w:t>
      </w:r>
      <w:r w:rsidRPr="00D362F5" w:rsidR="00D362F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цього Кодексу </w:t>
      </w:r>
      <w:r w:rsidR="00D362F5">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платник </w:t>
      </w:r>
      <w:r w:rsidR="00D362F5">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xml:space="preserve"> за користування д</w:t>
      </w:r>
      <w:r w:rsidR="00D362F5">
        <w:rPr>
          <w:rFonts w:ascii="Times New Roman" w:eastAsia="Calibri" w:hAnsi="Times New Roman"/>
          <w:sz w:val="28"/>
          <w:szCs w:val="28"/>
          <w:lang w:eastAsia="en-US"/>
        </w:rPr>
        <w:t>ілянками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“14.1.217</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плата за користування ділянками нафтогазоносних надр </w:t>
      </w:r>
      <w:r w:rsidR="00980723">
        <w:rPr>
          <w:rFonts w:eastAsia="Calibri"/>
          <w:sz w:val="28"/>
          <w:szCs w:val="28"/>
          <w:lang w:eastAsia="en-US"/>
        </w:rPr>
        <w:t>—</w:t>
      </w:r>
      <w:r w:rsidR="00980723">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платіж, який справляється за користування ділянками нафтогазоносних надр</w:t>
      </w:r>
      <w:r w:rsidR="00B32067">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для геологічного вивчення нафтогазоносних надр, у тому числі дослід</w:t>
      </w:r>
      <w:r w:rsidR="00D362F5">
        <w:rPr>
          <w:rFonts w:ascii="Times New Roman" w:eastAsia="Calibri" w:hAnsi="Times New Roman"/>
          <w:sz w:val="28"/>
          <w:szCs w:val="28"/>
          <w:lang w:eastAsia="en-US"/>
        </w:rPr>
        <w:t>но-промислової розробки родовищ;</w:t>
      </w:r>
      <w:r w:rsidRPr="00D56D05">
        <w:rPr>
          <w:rFonts w:ascii="Times New Roman" w:eastAsia="Calibri" w:hAnsi="Times New Roman"/>
          <w:sz w:val="28"/>
          <w:szCs w:val="28"/>
          <w:lang w:eastAsia="en-US"/>
        </w:rPr>
        <w:t xml:space="preserve"> для геологічного вивчення нафтогазоносних надр, у тому числі дослідно-промислової розробки родовищ з подальшим видобуванням нафти і газу</w:t>
      </w:r>
      <w:r w:rsidR="00D362F5">
        <w:rPr>
          <w:rFonts w:ascii="Times New Roman" w:eastAsia="Calibri" w:hAnsi="Times New Roman"/>
          <w:sz w:val="28"/>
          <w:szCs w:val="28"/>
          <w:lang w:eastAsia="en-US"/>
        </w:rPr>
        <w:t xml:space="preserve"> (промислової розробки родовищ);</w:t>
      </w:r>
      <w:r w:rsidRPr="00D56D05">
        <w:rPr>
          <w:rFonts w:ascii="Times New Roman" w:eastAsia="Calibri" w:hAnsi="Times New Roman"/>
          <w:sz w:val="28"/>
          <w:szCs w:val="28"/>
          <w:lang w:eastAsia="en-US"/>
        </w:rPr>
        <w:t xml:space="preserve"> для видобування нафти і газу (промислової розробки родовищ) починаючи з четвертого календарного року видачі спеціального дозволу на користування нафтогазоносними надрами до початку видобування нафти і газу або після припинення внесення рентної плати за користування надрами для видобу</w:t>
      </w:r>
      <w:r w:rsidR="00980723">
        <w:rPr>
          <w:rFonts w:ascii="Times New Roman" w:eastAsia="Calibri" w:hAnsi="Times New Roman"/>
          <w:sz w:val="28"/>
          <w:szCs w:val="28"/>
          <w:lang w:eastAsia="en-US"/>
        </w:rPr>
        <w:t>вання</w:t>
      </w:r>
      <w:r w:rsidRPr="00D56D05">
        <w:rPr>
          <w:rFonts w:ascii="Times New Roman" w:eastAsia="Calibri" w:hAnsi="Times New Roman"/>
          <w:sz w:val="28"/>
          <w:szCs w:val="28"/>
          <w:lang w:eastAsia="en-US"/>
        </w:rPr>
        <w:t xml:space="preserve"> нафти і газу щодо відповідної ділянки нафтогазоносних надр;”.</w:t>
      </w:r>
    </w:p>
    <w:p w:rsidR="00D56D05" w:rsidRPr="00D56D05" w:rsidP="00D56D05">
      <w:pPr>
        <w:pStyle w:val="a"/>
        <w:rPr>
          <w:rFonts w:ascii="Times New Roman" w:eastAsia="Calibri" w:hAnsi="Times New Roman"/>
          <w:sz w:val="28"/>
          <w:szCs w:val="28"/>
          <w:lang w:eastAsia="en-US"/>
        </w:rPr>
      </w:pPr>
      <w:r w:rsidR="00D362F5">
        <w:rPr>
          <w:rFonts w:ascii="Times New Roman" w:eastAsia="Calibri" w:hAnsi="Times New Roman"/>
          <w:sz w:val="28"/>
          <w:szCs w:val="28"/>
          <w:lang w:eastAsia="en-US"/>
        </w:rPr>
        <w:t>4</w:t>
      </w:r>
      <w:r w:rsidRPr="00D56D05">
        <w:rPr>
          <w:rFonts w:ascii="Times New Roman" w:eastAsia="Calibri" w:hAnsi="Times New Roman"/>
          <w:sz w:val="28"/>
          <w:szCs w:val="28"/>
          <w:lang w:eastAsia="en-US"/>
        </w:rPr>
        <w:t>. Абзац другий пункту 35.4 статті 35</w:t>
      </w:r>
      <w:r w:rsidR="00D362F5">
        <w:rPr>
          <w:rFonts w:ascii="Times New Roman" w:eastAsia="Calibri" w:hAnsi="Times New Roman"/>
          <w:sz w:val="28"/>
          <w:szCs w:val="28"/>
          <w:lang w:eastAsia="en-US"/>
        </w:rPr>
        <w:t xml:space="preserve"> після слів “</w:t>
      </w:r>
      <w:r w:rsidR="00C90A80">
        <w:rPr>
          <w:rFonts w:ascii="Times New Roman" w:eastAsia="Calibri" w:hAnsi="Times New Roman"/>
          <w:sz w:val="28"/>
          <w:szCs w:val="28"/>
          <w:lang w:eastAsia="en-US"/>
        </w:rPr>
        <w:t>за користування надрами</w:t>
      </w:r>
      <w:r w:rsidR="00D362F5">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доповнити словами “та платниками плати за користування ділянками нафтогазоносних надр”.</w:t>
      </w:r>
    </w:p>
    <w:p w:rsidR="00D56D05" w:rsidRPr="00D56D05" w:rsidP="00D56D05">
      <w:pPr>
        <w:pStyle w:val="a"/>
        <w:rPr>
          <w:rFonts w:ascii="Times New Roman" w:eastAsia="Calibri" w:hAnsi="Times New Roman"/>
          <w:sz w:val="28"/>
          <w:szCs w:val="28"/>
          <w:lang w:eastAsia="en-US"/>
        </w:rPr>
      </w:pPr>
      <w:r w:rsidR="00C90A80">
        <w:rPr>
          <w:rFonts w:ascii="Times New Roman" w:eastAsia="Calibri" w:hAnsi="Times New Roman"/>
          <w:sz w:val="28"/>
          <w:szCs w:val="28"/>
          <w:lang w:eastAsia="en-US"/>
        </w:rPr>
        <w:t>5</w:t>
      </w:r>
      <w:r w:rsidRPr="00D56D05">
        <w:rPr>
          <w:rFonts w:ascii="Times New Roman" w:eastAsia="Calibri" w:hAnsi="Times New Roman"/>
          <w:sz w:val="28"/>
          <w:szCs w:val="28"/>
          <w:lang w:eastAsia="en-US"/>
        </w:rPr>
        <w:t xml:space="preserve">. Абзац шостий пункту 252.21 статті 252 викласти </w:t>
      </w:r>
      <w:r w:rsidR="00C90A80">
        <w:rPr>
          <w:rFonts w:ascii="Times New Roman" w:eastAsia="Calibri" w:hAnsi="Times New Roman"/>
          <w:sz w:val="28"/>
          <w:szCs w:val="28"/>
          <w:lang w:eastAsia="en-US"/>
        </w:rPr>
        <w:t>в</w:t>
      </w:r>
      <w:r w:rsidRPr="00D56D05">
        <w:rPr>
          <w:rFonts w:ascii="Times New Roman" w:eastAsia="Calibri" w:hAnsi="Times New Roman"/>
          <w:sz w:val="28"/>
          <w:szCs w:val="28"/>
          <w:lang w:eastAsia="en-US"/>
        </w:rPr>
        <w:t xml:space="preserve"> такій редакції:</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“господарські товариства, 25 відсотків та більше акцій (часток, паїв) яких належать іншим господарським товариствам, контрольним пакетом акцій яких володіє держава;”;</w:t>
      </w:r>
    </w:p>
    <w:p w:rsidR="00D56D05" w:rsidRPr="00D56D05" w:rsidP="00D56D05">
      <w:pPr>
        <w:pStyle w:val="a"/>
        <w:rPr>
          <w:rFonts w:ascii="Times New Roman" w:eastAsia="Calibri" w:hAnsi="Times New Roman"/>
          <w:sz w:val="28"/>
          <w:szCs w:val="28"/>
          <w:lang w:eastAsia="en-US"/>
        </w:rPr>
      </w:pPr>
      <w:r w:rsidR="00C90A80">
        <w:rPr>
          <w:rFonts w:ascii="Times New Roman" w:eastAsia="Calibri" w:hAnsi="Times New Roman"/>
          <w:sz w:val="28"/>
          <w:szCs w:val="28"/>
          <w:lang w:eastAsia="en-US"/>
        </w:rPr>
        <w:t>6</w:t>
      </w:r>
      <w:r w:rsidRPr="00D56D05">
        <w:rPr>
          <w:rFonts w:ascii="Times New Roman" w:eastAsia="Calibri" w:hAnsi="Times New Roman"/>
          <w:sz w:val="28"/>
          <w:szCs w:val="28"/>
          <w:lang w:eastAsia="en-US"/>
        </w:rPr>
        <w:t xml:space="preserve">. Доповнити </w:t>
      </w:r>
      <w:r w:rsidR="0078392D">
        <w:rPr>
          <w:rFonts w:ascii="Times New Roman" w:eastAsia="Calibri" w:hAnsi="Times New Roman"/>
          <w:sz w:val="28"/>
          <w:szCs w:val="28"/>
          <w:lang w:eastAsia="en-US"/>
        </w:rPr>
        <w:t xml:space="preserve">Кодекс </w:t>
      </w:r>
      <w:r w:rsidR="00C90A80">
        <w:rPr>
          <w:rFonts w:ascii="Times New Roman" w:eastAsia="Calibri" w:hAnsi="Times New Roman"/>
          <w:sz w:val="28"/>
          <w:szCs w:val="28"/>
          <w:lang w:eastAsia="en-US"/>
        </w:rPr>
        <w:t>р</w:t>
      </w:r>
      <w:r w:rsidRPr="00D56D05">
        <w:rPr>
          <w:rFonts w:ascii="Times New Roman" w:eastAsia="Calibri" w:hAnsi="Times New Roman"/>
          <w:sz w:val="28"/>
          <w:szCs w:val="28"/>
          <w:lang w:eastAsia="en-US"/>
        </w:rPr>
        <w:t>озділом XI</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такого змісту:</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“Розділ XI</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Плата за користування ділянками нафтогазоносних надр</w:t>
      </w:r>
    </w:p>
    <w:p w:rsidR="00D56D05" w:rsidRPr="00D56D05" w:rsidP="00C90A80">
      <w:pPr>
        <w:pStyle w:val="a"/>
        <w:spacing w:before="360" w:after="240"/>
        <w:rPr>
          <w:rFonts w:ascii="Times New Roman" w:eastAsia="Calibri" w:hAnsi="Times New Roman"/>
          <w:sz w:val="28"/>
          <w:szCs w:val="28"/>
          <w:lang w:eastAsia="en-US"/>
        </w:rPr>
      </w:pPr>
      <w:r w:rsidRPr="00D56D05">
        <w:rPr>
          <w:rFonts w:ascii="Times New Roman" w:eastAsia="Calibri" w:hAnsi="Times New Roman"/>
          <w:sz w:val="28"/>
          <w:szCs w:val="28"/>
          <w:lang w:eastAsia="en-US"/>
        </w:rPr>
        <w:t>Стаття 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Плата за користування ділянками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1. Плата за користування ділянками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1.1 Плата за користування ділянками нафтогазоносних надр справляється у вигляді:</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плати за користування ділянками нафтогазоносних надр для геологічного вивчення нафтогазоносних надр, у тому числі дослідно-промислової розробки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плати за користування ділянками нафтогазоносних надр для геологічного вивчення нафтогазоносних надр, у тому числі дослідно-промислової розробки родовищ з подальшим видобуванням нафти і газу (промислової розробки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плати за користування ділянками нафтогазоносних надр для видобування нафти і газу (промислової розробки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плати за користування ділянками нафтогазоносних надр для виконання угод про розподіл продукції.</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.2. Платник</w:t>
      </w:r>
      <w:r w:rsidR="00DE1293">
        <w:rPr>
          <w:rFonts w:ascii="Times New Roman" w:eastAsia="Calibri" w:hAnsi="Times New Roman"/>
          <w:sz w:val="28"/>
          <w:szCs w:val="28"/>
          <w:lang w:eastAsia="en-US"/>
        </w:rPr>
        <w:t>ами</w:t>
      </w:r>
      <w:r w:rsidRPr="00D56D05">
        <w:rPr>
          <w:rFonts w:ascii="Times New Roman" w:eastAsia="Calibri" w:hAnsi="Times New Roman"/>
          <w:sz w:val="28"/>
          <w:szCs w:val="28"/>
          <w:lang w:eastAsia="en-US"/>
        </w:rPr>
        <w:t xml:space="preserve"> </w:t>
      </w:r>
      <w:r w:rsidR="00DE1293">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xml:space="preserve"> за користування </w:t>
      </w:r>
      <w:r w:rsidR="00DE1293">
        <w:rPr>
          <w:rFonts w:ascii="Times New Roman" w:eastAsia="Calibri" w:hAnsi="Times New Roman"/>
          <w:sz w:val="28"/>
          <w:szCs w:val="28"/>
          <w:lang w:eastAsia="en-US"/>
        </w:rPr>
        <w:t xml:space="preserve">ділянками нафтогазоносних надр є </w:t>
      </w:r>
      <w:r w:rsidRPr="00D56D05">
        <w:rPr>
          <w:rFonts w:ascii="Times New Roman" w:eastAsia="Calibri" w:hAnsi="Times New Roman"/>
          <w:sz w:val="28"/>
          <w:szCs w:val="28"/>
          <w:lang w:eastAsia="en-US"/>
        </w:rPr>
        <w:t>користувачі нафтогазоносними надрами, які набули право користування ділянкою нафтогазоносних надр на підставі відповідного спеціального дозволу на користування нафтогазоносними надрами для:</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геологічного вивчення нафтогазоносних надр, у тому числі дослідно-промислової розробки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геологічного вивчення нафтогазоносних надр, у тому числі дослідно-промислової розробки родовищ з подальшим видобуванням нафти і газу (промисловою розробкою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видобування нафти і газу (промислової розробки родовищ);</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виконання угод про розподіл продукції.</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.2.</w:t>
      </w:r>
      <w:r w:rsidR="00DE1293">
        <w:rPr>
          <w:rFonts w:ascii="Times New Roman" w:eastAsia="Calibri" w:hAnsi="Times New Roman"/>
          <w:sz w:val="28"/>
          <w:szCs w:val="28"/>
          <w:lang w:eastAsia="en-US"/>
        </w:rPr>
        <w:t>1</w:t>
      </w:r>
      <w:r w:rsidRPr="00D56D05">
        <w:rPr>
          <w:rFonts w:ascii="Times New Roman" w:eastAsia="Calibri" w:hAnsi="Times New Roman"/>
          <w:sz w:val="28"/>
          <w:szCs w:val="28"/>
          <w:lang w:eastAsia="en-US"/>
        </w:rPr>
        <w:t>. У разі укладення користувачами нафтогазоносних надр з третіми особами договорів на виконання робіт (послуг), пов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язаних з використанням надр, у тому числі (але не виключно) за операціями з давальницькою сировиною, платниками плати є такі користувачі нафтогазоносними надрами.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.2.</w:t>
      </w:r>
      <w:r w:rsidR="00DE1293">
        <w:rPr>
          <w:rFonts w:ascii="Times New Roman" w:eastAsia="Calibri" w:hAnsi="Times New Roman"/>
          <w:sz w:val="28"/>
          <w:szCs w:val="28"/>
          <w:lang w:eastAsia="en-US"/>
        </w:rPr>
        <w:t>2</w:t>
      </w:r>
      <w:r w:rsidRPr="00D56D05">
        <w:rPr>
          <w:rFonts w:ascii="Times New Roman" w:eastAsia="Calibri" w:hAnsi="Times New Roman"/>
          <w:sz w:val="28"/>
          <w:szCs w:val="28"/>
          <w:lang w:eastAsia="en-US"/>
        </w:rPr>
        <w:t xml:space="preserve">. Платником </w:t>
      </w:r>
      <w:r w:rsidR="00DE1293">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xml:space="preserve"> під час виконання договорів про спільну діяльність без утворення юридичної особи є уповноважена особа </w:t>
      </w:r>
      <w:r w:rsidR="00DE1293">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один з учасників такого договору, на якого згідно з його умовами покладено 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язок нарахування, утримання та внесення податків і зборів до бюджету з єдиного поточного рахунку спільної діяльності, за умови,</w:t>
      </w:r>
      <w:r w:rsidR="00DE1293">
        <w:rPr>
          <w:rFonts w:ascii="Times New Roman" w:eastAsia="Calibri" w:hAnsi="Times New Roman"/>
          <w:sz w:val="28"/>
          <w:szCs w:val="28"/>
          <w:lang w:eastAsia="en-US"/>
        </w:rPr>
        <w:t xml:space="preserve"> якщо </w:t>
      </w:r>
      <w:r w:rsidRPr="00D56D05">
        <w:rPr>
          <w:rFonts w:ascii="Times New Roman" w:eastAsia="Calibri" w:hAnsi="Times New Roman"/>
          <w:sz w:val="28"/>
          <w:szCs w:val="28"/>
          <w:lang w:eastAsia="en-US"/>
        </w:rPr>
        <w:t>один з учасників зазначеного договору є користувачем нафтогазоносними надрами.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.3. Об</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єкт оподаткування</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.3.1. Об</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єктом оподаткування є ділянка нафтогазоносних надр, надана у користування на підставі відповідного спеціального дозволу на користування нафтогазоносними надрами.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.4. Визначення податкових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язань</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.4.1. Платники </w:t>
      </w:r>
      <w:r w:rsidR="00DE1293">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які набули права користування ділянкою</w:t>
      </w:r>
      <w:r w:rsidR="003D33E1">
        <w:rPr>
          <w:rFonts w:ascii="Times New Roman" w:eastAsia="Calibri" w:hAnsi="Times New Roman"/>
          <w:sz w:val="28"/>
          <w:szCs w:val="28"/>
          <w:lang w:eastAsia="en-US"/>
        </w:rPr>
        <w:t xml:space="preserve"> нафтогазоносних</w:t>
      </w:r>
      <w:r w:rsidRPr="00D56D05">
        <w:rPr>
          <w:rFonts w:ascii="Times New Roman" w:eastAsia="Calibri" w:hAnsi="Times New Roman"/>
          <w:sz w:val="28"/>
          <w:szCs w:val="28"/>
          <w:lang w:eastAsia="en-US"/>
        </w:rPr>
        <w:t xml:space="preserve"> надр визначають податкові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язання за податковий (звітний) період за формулою:</w:t>
      </w:r>
    </w:p>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Т = (П х ПМ) х К</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де:</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Т </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розмір плати за користування ділянками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П </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площа ділянки нафтогазоносних надр у квадратних кілометрах, що встановлена у відповідному спеціальному дозволі на користування нафтогазоносними надрами;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ПМ </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50 відсотків розміру прожиткового мінімуму для працездатної особи, встановленого законом на 1 січня податкового (звітного) року;</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К </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 xml:space="preserve"> коригуючий коефіцієнт, який розраховується з моменту первинної видачі спеціального дозволу на користування нафтогазоносними надрами (дати присвоєння відповідному спеціальному дозволу на користування нафтогазоносними надрами реєстраційного номеру) або строку несплати рентної плати за користування надрами для видобутку нафти і газу:</w:t>
      </w:r>
    </w:p>
    <w:tbl>
      <w:tblPr>
        <w:tblStyle w:val="TableNormal"/>
        <w:tblW w:w="5000" w:type="pct"/>
        <w:tblCellMar>
          <w:left w:w="40" w:type="dxa"/>
          <w:right w:w="40" w:type="dxa"/>
        </w:tblCellMar>
        <w:tblLook w:val="04A0"/>
      </w:tblPr>
      <w:tblGrid>
        <w:gridCol w:w="5524"/>
        <w:gridCol w:w="3627"/>
      </w:tblGrid>
      <w:tr w:rsidTr="00980723">
        <w:tblPrEx>
          <w:tblW w:w="5000" w:type="pct"/>
          <w:tblCellMar>
            <w:left w:w="40" w:type="dxa"/>
            <w:right w:w="40" w:type="dxa"/>
          </w:tblCellMar>
          <w:tblLook w:val="04A0"/>
        </w:tblPrEx>
        <w:trPr>
          <w:trHeight w:val="20"/>
        </w:trPr>
        <w:tc>
          <w:tcPr>
            <w:tcW w:w="3018" w:type="pct"/>
            <w:tcBorders>
              <w:top w:val="single" w:sz="6" w:space="0" w:color="auto"/>
              <w:bottom w:val="single" w:sz="6" w:space="0" w:color="auto"/>
              <w:right w:val="single" w:sz="6" w:space="0" w:color="auto"/>
            </w:tcBorders>
            <w:vAlign w:val="center"/>
            <w:hideMark/>
          </w:tcPr>
          <w:p w:rsidR="00D56D05" w:rsidRPr="00D56D05" w:rsidP="003D33E1">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Строк з моменту первинної</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видачі спеціального дозволу</w:t>
            </w:r>
          </w:p>
        </w:tc>
        <w:tc>
          <w:tcPr>
            <w:tcW w:w="1982" w:type="pct"/>
            <w:tcBorders>
              <w:top w:val="single" w:sz="6" w:space="0" w:color="auto"/>
              <w:left w:val="single" w:sz="6" w:space="0" w:color="auto"/>
              <w:bottom w:val="single" w:sz="6" w:space="0" w:color="auto"/>
            </w:tcBorders>
            <w:vAlign w:val="center"/>
            <w:hideMark/>
          </w:tcPr>
          <w:p w:rsidR="00D56D05" w:rsidRPr="00D56D05" w:rsidP="003D33E1">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Величина коефіцієнту</w:t>
            </w:r>
          </w:p>
        </w:tc>
      </w:tr>
      <w:tr w:rsidTr="00980723">
        <w:tblPrEx>
          <w:tblW w:w="5000" w:type="pct"/>
          <w:tblCellMar>
            <w:left w:w="40" w:type="dxa"/>
            <w:right w:w="40" w:type="dxa"/>
          </w:tblCellMar>
          <w:tblLook w:val="04A0"/>
        </w:tblPrEx>
        <w:trPr>
          <w:trHeight w:val="20"/>
        </w:trPr>
        <w:tc>
          <w:tcPr>
            <w:tcW w:w="3018" w:type="pct"/>
            <w:tcBorders>
              <w:top w:val="single" w:sz="6" w:space="0" w:color="auto"/>
            </w:tcBorders>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3 років</w:t>
            </w:r>
          </w:p>
        </w:tc>
        <w:tc>
          <w:tcPr>
            <w:tcW w:w="1982" w:type="pct"/>
            <w:tcBorders>
              <w:top w:val="single" w:sz="6" w:space="0" w:color="auto"/>
            </w:tcBorders>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1</w:t>
            </w:r>
          </w:p>
        </w:tc>
      </w:tr>
      <w:tr w:rsidTr="00980723">
        <w:tblPrEx>
          <w:tblW w:w="5000" w:type="pct"/>
          <w:tblCellMar>
            <w:left w:w="40" w:type="dxa"/>
            <w:right w:w="40" w:type="dxa"/>
          </w:tblCellMar>
          <w:tblLook w:val="04A0"/>
        </w:tblPrEx>
        <w:trPr>
          <w:trHeight w:val="20"/>
        </w:trPr>
        <w:tc>
          <w:tcPr>
            <w:tcW w:w="3018"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4 років</w:t>
            </w:r>
          </w:p>
        </w:tc>
        <w:tc>
          <w:tcPr>
            <w:tcW w:w="1982"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1,5</w:t>
            </w:r>
          </w:p>
        </w:tc>
      </w:tr>
      <w:tr w:rsidTr="00980723">
        <w:tblPrEx>
          <w:tblW w:w="5000" w:type="pct"/>
          <w:tblCellMar>
            <w:left w:w="40" w:type="dxa"/>
            <w:right w:w="40" w:type="dxa"/>
          </w:tblCellMar>
          <w:tblLook w:val="04A0"/>
        </w:tblPrEx>
        <w:trPr>
          <w:trHeight w:val="20"/>
        </w:trPr>
        <w:tc>
          <w:tcPr>
            <w:tcW w:w="3018"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5 років</w:t>
            </w:r>
          </w:p>
        </w:tc>
        <w:tc>
          <w:tcPr>
            <w:tcW w:w="1982"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2</w:t>
            </w:r>
          </w:p>
        </w:tc>
      </w:tr>
      <w:tr w:rsidTr="00980723">
        <w:tblPrEx>
          <w:tblW w:w="5000" w:type="pct"/>
          <w:tblCellMar>
            <w:left w:w="40" w:type="dxa"/>
            <w:right w:w="40" w:type="dxa"/>
          </w:tblCellMar>
          <w:tblLook w:val="04A0"/>
        </w:tblPrEx>
        <w:trPr>
          <w:trHeight w:val="20"/>
        </w:trPr>
        <w:tc>
          <w:tcPr>
            <w:tcW w:w="5000" w:type="pct"/>
            <w:gridSpan w:val="2"/>
            <w:tcBorders>
              <w:bottom w:val="single" w:sz="6" w:space="0" w:color="auto"/>
            </w:tcBorders>
          </w:tcPr>
          <w:p w:rsidR="00D56D05" w:rsidRPr="00D56D05" w:rsidP="00D56D05">
            <w:pPr>
              <w:pStyle w:val="a"/>
              <w:ind w:firstLine="0"/>
              <w:jc w:val="center"/>
              <w:rPr>
                <w:rFonts w:ascii="Times New Roman" w:eastAsia="Calibri" w:hAnsi="Times New Roman"/>
                <w:sz w:val="28"/>
                <w:szCs w:val="28"/>
                <w:lang w:eastAsia="en-US"/>
              </w:rPr>
            </w:pPr>
          </w:p>
        </w:tc>
      </w:tr>
      <w:tr w:rsidTr="00980723">
        <w:tblPrEx>
          <w:tblW w:w="5000" w:type="pct"/>
          <w:tblCellMar>
            <w:left w:w="40" w:type="dxa"/>
            <w:right w:w="40" w:type="dxa"/>
          </w:tblCellMar>
          <w:tblLook w:val="04A0"/>
        </w:tblPrEx>
        <w:trPr>
          <w:trHeight w:val="20"/>
        </w:trPr>
        <w:tc>
          <w:tcPr>
            <w:tcW w:w="3018" w:type="pct"/>
            <w:tcBorders>
              <w:top w:val="single" w:sz="6" w:space="0" w:color="auto"/>
              <w:bottom w:val="single" w:sz="6" w:space="0" w:color="auto"/>
              <w:right w:val="single" w:sz="6" w:space="0" w:color="auto"/>
            </w:tcBorders>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Строк несплати рентної</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плати</w:t>
            </w:r>
          </w:p>
        </w:tc>
        <w:tc>
          <w:tcPr>
            <w:tcW w:w="1982" w:type="pct"/>
            <w:tcBorders>
              <w:top w:val="single" w:sz="6" w:space="0" w:color="auto"/>
              <w:left w:val="single" w:sz="6" w:space="0" w:color="auto"/>
              <w:bottom w:val="single" w:sz="6" w:space="0" w:color="auto"/>
            </w:tcBorders>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Величина коефіцієнту</w:t>
            </w:r>
          </w:p>
        </w:tc>
      </w:tr>
      <w:tr w:rsidTr="00980723">
        <w:tblPrEx>
          <w:tblW w:w="5000" w:type="pct"/>
          <w:tblCellMar>
            <w:left w:w="40" w:type="dxa"/>
            <w:right w:w="40" w:type="dxa"/>
          </w:tblCellMar>
          <w:tblLook w:val="04A0"/>
        </w:tblPrEx>
        <w:trPr>
          <w:trHeight w:val="20"/>
        </w:trPr>
        <w:tc>
          <w:tcPr>
            <w:tcW w:w="3018" w:type="pct"/>
            <w:tcBorders>
              <w:top w:val="single" w:sz="6" w:space="0" w:color="auto"/>
            </w:tcBorders>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до 1 року</w:t>
            </w:r>
          </w:p>
        </w:tc>
        <w:tc>
          <w:tcPr>
            <w:tcW w:w="1982" w:type="pct"/>
            <w:tcBorders>
              <w:top w:val="single" w:sz="6" w:space="0" w:color="auto"/>
            </w:tcBorders>
            <w:hideMark/>
          </w:tcPr>
          <w:p w:rsidR="00D56D05" w:rsidRPr="00D56D05" w:rsidP="00D56D05">
            <w:pPr>
              <w:pStyle w:val="a"/>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1</w:t>
            </w:r>
          </w:p>
        </w:tc>
      </w:tr>
      <w:tr w:rsidTr="00980723">
        <w:tblPrEx>
          <w:tblW w:w="5000" w:type="pct"/>
          <w:tblCellMar>
            <w:left w:w="40" w:type="dxa"/>
            <w:right w:w="40" w:type="dxa"/>
          </w:tblCellMar>
          <w:tblLook w:val="04A0"/>
        </w:tblPrEx>
        <w:trPr>
          <w:trHeight w:val="20"/>
        </w:trPr>
        <w:tc>
          <w:tcPr>
            <w:tcW w:w="3018"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1 до 2 років</w:t>
            </w:r>
          </w:p>
        </w:tc>
        <w:tc>
          <w:tcPr>
            <w:tcW w:w="1982" w:type="pct"/>
            <w:hideMark/>
          </w:tcPr>
          <w:p w:rsidR="00D56D05" w:rsidRPr="00D56D05" w:rsidP="00D56D05">
            <w:pPr>
              <w:pStyle w:val="a"/>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1,5</w:t>
            </w:r>
          </w:p>
        </w:tc>
      </w:tr>
      <w:tr w:rsidTr="00980723">
        <w:tblPrEx>
          <w:tblW w:w="5000" w:type="pct"/>
          <w:tblCellMar>
            <w:left w:w="40" w:type="dxa"/>
            <w:right w:w="40" w:type="dxa"/>
          </w:tblCellMar>
          <w:tblLook w:val="04A0"/>
        </w:tblPrEx>
        <w:trPr>
          <w:trHeight w:val="20"/>
        </w:trPr>
        <w:tc>
          <w:tcPr>
            <w:tcW w:w="3018"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2 до 3 років</w:t>
            </w:r>
          </w:p>
        </w:tc>
        <w:tc>
          <w:tcPr>
            <w:tcW w:w="1982" w:type="pct"/>
            <w:hideMark/>
          </w:tcPr>
          <w:p w:rsidR="00D56D05" w:rsidRPr="00D56D05" w:rsidP="00D56D05">
            <w:pPr>
              <w:pStyle w:val="a"/>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2</w:t>
            </w:r>
          </w:p>
        </w:tc>
      </w:tr>
      <w:tr w:rsidTr="00980723">
        <w:tblPrEx>
          <w:tblW w:w="5000" w:type="pct"/>
          <w:tblCellMar>
            <w:left w:w="40" w:type="dxa"/>
            <w:right w:w="40" w:type="dxa"/>
          </w:tblCellMar>
          <w:tblLook w:val="04A0"/>
        </w:tblPrEx>
        <w:trPr>
          <w:trHeight w:val="20"/>
        </w:trPr>
        <w:tc>
          <w:tcPr>
            <w:tcW w:w="3018" w:type="pct"/>
            <w:hideMark/>
          </w:tcPr>
          <w:p w:rsidR="00D56D05" w:rsidRPr="00D56D05" w:rsidP="00D56D05">
            <w:pPr>
              <w:pStyle w:val="a"/>
              <w:ind w:firstLine="0"/>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від 3 років</w:t>
            </w:r>
          </w:p>
        </w:tc>
        <w:tc>
          <w:tcPr>
            <w:tcW w:w="1982" w:type="pct"/>
            <w:hideMark/>
          </w:tcPr>
          <w:p w:rsidR="00D56D05" w:rsidRPr="00D56D05" w:rsidP="00D56D05">
            <w:pPr>
              <w:pStyle w:val="a"/>
              <w:jc w:val="center"/>
              <w:rPr>
                <w:rFonts w:ascii="Times New Roman" w:eastAsia="Calibri" w:hAnsi="Times New Roman"/>
                <w:sz w:val="28"/>
                <w:szCs w:val="28"/>
                <w:lang w:eastAsia="en-US"/>
              </w:rPr>
            </w:pPr>
            <w:r w:rsidRPr="00D56D05">
              <w:rPr>
                <w:rFonts w:ascii="Times New Roman" w:eastAsia="Calibri" w:hAnsi="Times New Roman"/>
                <w:sz w:val="28"/>
                <w:szCs w:val="28"/>
                <w:lang w:eastAsia="en-US"/>
              </w:rPr>
              <w:t>4</w:t>
            </w:r>
          </w:p>
        </w:tc>
      </w:tr>
    </w:tbl>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.5. Подання декларації і строки сплати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.5.І. Базовий податковий (звітний) період </w:t>
      </w:r>
      <w:r w:rsidR="00B32067">
        <w:rPr>
          <w:rFonts w:ascii="Times New Roman" w:eastAsia="Calibri" w:hAnsi="Times New Roman"/>
          <w:sz w:val="28"/>
          <w:szCs w:val="28"/>
          <w:lang w:eastAsia="en-US"/>
        </w:rPr>
        <w:t>є календарний</w:t>
      </w:r>
      <w:r w:rsidRPr="00D56D05">
        <w:rPr>
          <w:rFonts w:ascii="Times New Roman" w:eastAsia="Calibri" w:hAnsi="Times New Roman"/>
          <w:sz w:val="28"/>
          <w:szCs w:val="28"/>
          <w:lang w:eastAsia="en-US"/>
        </w:rPr>
        <w:t xml:space="preserve"> місяц</w:t>
      </w:r>
      <w:r w:rsidR="00B32067">
        <w:rPr>
          <w:rFonts w:ascii="Times New Roman" w:eastAsia="Calibri" w:hAnsi="Times New Roman"/>
          <w:sz w:val="28"/>
          <w:szCs w:val="28"/>
          <w:lang w:eastAsia="en-US"/>
        </w:rPr>
        <w:t>ь</w:t>
      </w:r>
      <w:r w:rsidRPr="00D56D05">
        <w:rPr>
          <w:rFonts w:ascii="Times New Roman" w:eastAsia="Calibri" w:hAnsi="Times New Roman"/>
          <w:sz w:val="28"/>
          <w:szCs w:val="28"/>
          <w:lang w:eastAsia="en-US"/>
        </w:rPr>
        <w:t>.</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.5.2. До закінчення визначеного розділом II цього Кодексу граничного строку подання податкових декларацій за податковий (звітний) період, визначений цією статтею, платник подає за формою, встановленою у порядку, передбаченому статтею 46 цього Кодексу, податкову декларацію:</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за місцезнаходженням ділянки нафтогазоносних надр, з якої видобуті нафта, конденсат чи природний газ, у разі розміщення такої ділянки надр у межах території суходолу України;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за місцем обліку платника плати у разі розміщення ділянки надр, з якої видобуто нафту, конденсат чи природний газ, в межах континентального шельфу та/або виключної (морської) економічної зони України.</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.5.3. Сума податкових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язань з плати, визначена у податковій декларації за податковий (звітний) період, сплачується платником до бюджету протягом 10 календарних днів після закінчення граничного строку подання такої податкової декларації.</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.5.4. Податкові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язання зі сплати плати за користування ділянками нафтогазоносних надр не нараховуються з початку місяця, наступного за місяцем сплати користувачем рентної плати за користування надрами для видобутку нафти і газу щодо відповідної ділянки нафтогазоносних надр.</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.5.5. У випадку припинення внесення рентної плати за користування надрами для видобутку нафти і газу податкові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язання зі сплати плати за користування ділянками нафтогазоносних надр нараховуються на другий місяць несплати рентної плати за користування надрами для видобутку нафти і газу щодо відповідної ділянки нафтогазоносних надр відповідно до положень ст. 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.4. цього Кодексу.</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.6. Відповідальність платників </w:t>
      </w:r>
      <w:r w:rsidR="003D33E1">
        <w:rPr>
          <w:rFonts w:ascii="Times New Roman" w:eastAsia="Calibri" w:hAnsi="Times New Roman"/>
          <w:sz w:val="28"/>
          <w:szCs w:val="28"/>
          <w:lang w:eastAsia="en-US"/>
        </w:rPr>
        <w:t>податку</w:t>
      </w:r>
      <w:r w:rsidRPr="00D56D05">
        <w:rPr>
          <w:rFonts w:ascii="Times New Roman" w:eastAsia="Calibri" w:hAnsi="Times New Roman"/>
          <w:sz w:val="28"/>
          <w:szCs w:val="28"/>
          <w:lang w:eastAsia="en-US"/>
        </w:rPr>
        <w:t xml:space="preserve"> та контроль за її справлянням</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.6.1. На платника </w:t>
      </w:r>
      <w:r w:rsidR="00B32067">
        <w:rPr>
          <w:rFonts w:ascii="Times New Roman" w:eastAsia="Calibri" w:hAnsi="Times New Roman"/>
          <w:sz w:val="28"/>
          <w:szCs w:val="28"/>
          <w:lang w:eastAsia="en-US"/>
        </w:rPr>
        <w:t xml:space="preserve">податку </w:t>
      </w:r>
      <w:r w:rsidRPr="00D56D05">
        <w:rPr>
          <w:rFonts w:ascii="Times New Roman" w:eastAsia="Calibri" w:hAnsi="Times New Roman"/>
          <w:sz w:val="28"/>
          <w:szCs w:val="28"/>
          <w:lang w:eastAsia="en-US"/>
        </w:rPr>
        <w:t>покладається відповідальність за правильність обчислення, повноту і своєчасність її внесення до бюджету, а також за своєчасність подання контролюючим органам відповідних податкових декларацій згідно з нормами цього Кодексу та інших законодавчих актів.</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.6.2. На суму податкових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язань з її плати, що нарахована платником за податковий (звітний) період, але не сплачена протягом 10 календарних днів, що настають за останнім календарним днем граничного строку подання податкової декларації, нараховується пеня в порядку, встановленому розділом II цього Кодексу.</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.6.3. Контроль за правильністю обчислення, своєчасністю і повнотою справляння плати здійснюють контролюючі органи”.</w:t>
      </w:r>
    </w:p>
    <w:p w:rsidR="00D56D05" w:rsidRPr="00D56D05" w:rsidP="00D56D05">
      <w:pPr>
        <w:pStyle w:val="a"/>
        <w:rPr>
          <w:rFonts w:ascii="Times New Roman" w:eastAsia="Calibri" w:hAnsi="Times New Roman"/>
          <w:sz w:val="28"/>
          <w:szCs w:val="28"/>
          <w:lang w:eastAsia="en-US"/>
        </w:rPr>
      </w:pPr>
      <w:r w:rsidR="003D33E1">
        <w:rPr>
          <w:rFonts w:ascii="Times New Roman" w:eastAsia="Calibri" w:hAnsi="Times New Roman"/>
          <w:sz w:val="28"/>
          <w:szCs w:val="28"/>
          <w:lang w:eastAsia="en-US"/>
        </w:rPr>
        <w:t>7</w:t>
      </w:r>
      <w:r w:rsidRPr="00D56D05">
        <w:rPr>
          <w:rFonts w:ascii="Times New Roman" w:eastAsia="Calibri" w:hAnsi="Times New Roman"/>
          <w:sz w:val="28"/>
          <w:szCs w:val="28"/>
          <w:lang w:eastAsia="en-US"/>
        </w:rPr>
        <w:t xml:space="preserve">. </w:t>
      </w:r>
      <w:r w:rsidRPr="00D56D05" w:rsidR="003D33E1">
        <w:rPr>
          <w:rFonts w:ascii="Times New Roman" w:eastAsia="Calibri" w:hAnsi="Times New Roman"/>
          <w:sz w:val="28"/>
          <w:szCs w:val="28"/>
          <w:lang w:eastAsia="en-US"/>
        </w:rPr>
        <w:t>Пункт 2 підрозділу 9</w:t>
      </w:r>
      <w:r w:rsidRPr="00D56D05" w:rsidR="003D33E1">
        <w:rPr>
          <w:rFonts w:ascii="Times New Roman" w:eastAsia="Calibri" w:hAnsi="Times New Roman"/>
          <w:sz w:val="28"/>
          <w:szCs w:val="28"/>
          <w:vertAlign w:val="superscript"/>
          <w:lang w:eastAsia="en-US"/>
        </w:rPr>
        <w:t>1</w:t>
      </w:r>
      <w:r w:rsidRPr="00D56D05" w:rsidR="003D33E1">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розділ</w:t>
      </w:r>
      <w:r w:rsidR="003D33E1">
        <w:rPr>
          <w:rFonts w:ascii="Times New Roman" w:eastAsia="Calibri" w:hAnsi="Times New Roman"/>
          <w:sz w:val="28"/>
          <w:szCs w:val="28"/>
          <w:lang w:eastAsia="en-US"/>
        </w:rPr>
        <w:t>у</w:t>
      </w:r>
      <w:r w:rsidRPr="00D56D05">
        <w:rPr>
          <w:rFonts w:ascii="Times New Roman" w:eastAsia="Calibri" w:hAnsi="Times New Roman"/>
          <w:sz w:val="28"/>
          <w:szCs w:val="28"/>
          <w:lang w:eastAsia="en-US"/>
        </w:rPr>
        <w:t xml:space="preserve"> XX “Перехідні положення” викласти </w:t>
      </w:r>
      <w:r w:rsidR="003D33E1">
        <w:rPr>
          <w:rFonts w:ascii="Times New Roman" w:eastAsia="Calibri" w:hAnsi="Times New Roman"/>
          <w:sz w:val="28"/>
          <w:szCs w:val="28"/>
          <w:lang w:eastAsia="en-US"/>
        </w:rPr>
        <w:t>в</w:t>
      </w:r>
      <w:r w:rsidRPr="00D56D05">
        <w:rPr>
          <w:rFonts w:ascii="Times New Roman" w:eastAsia="Calibri" w:hAnsi="Times New Roman"/>
          <w:sz w:val="28"/>
          <w:szCs w:val="28"/>
          <w:lang w:eastAsia="en-US"/>
        </w:rPr>
        <w:t xml:space="preserve"> такій редакції:</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 Держава гарантує, що стимулююча ставка рентної плати за користування надрами для природного газу, видобутого із нових свердловин, встановлена цим Кодексом станом на 1 січня 2018 року, буде застосовуватися протягом не менше п</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яти років після початку буріння таких свердловин. Розмір стимулюючої ставки не може бути збільшений, а також до неї не можуть</w:t>
      </w:r>
      <w:r w:rsidR="003D33E1">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застосовуватися коригуючі коефіцієнти або інші механізми, що можуть бути передбачені цим Кодексом або іншими актами законодавства, що призведуть або можуть призвести до фактичного збільшення розміру податкових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язань з рентної плати за користування надрами для видобування природного газу порівняно з розміром таких податкових зобов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язань, розрахованим згідно з цим Кодексом станом на 1 січня 2018 року. У разі внесення змін до законодавства, що регулює податковий порядок стимулювання видобування природного газу, суб</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єкти господарювання можуть обрати новий порядок стимулювання.”.</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II. Пр</w:t>
      </w:r>
      <w:r w:rsidR="003D33E1">
        <w:rPr>
          <w:rFonts w:ascii="Times New Roman" w:eastAsia="Calibri" w:hAnsi="Times New Roman"/>
          <w:sz w:val="28"/>
          <w:szCs w:val="28"/>
          <w:lang w:eastAsia="en-US"/>
        </w:rPr>
        <w:t>икінцеві та перехідні положення</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1. Цей Закон набирає чинності з 1 </w:t>
      </w:r>
      <w:r w:rsidR="0078392D">
        <w:rPr>
          <w:rFonts w:ascii="Times New Roman" w:eastAsia="Calibri" w:hAnsi="Times New Roman"/>
          <w:sz w:val="28"/>
          <w:szCs w:val="28"/>
          <w:lang w:eastAsia="en-US"/>
        </w:rPr>
        <w:t>січня</w:t>
      </w:r>
      <w:r w:rsidRPr="00D56D05">
        <w:rPr>
          <w:rFonts w:ascii="Times New Roman" w:eastAsia="Calibri" w:hAnsi="Times New Roman"/>
          <w:sz w:val="28"/>
          <w:szCs w:val="28"/>
          <w:lang w:eastAsia="en-US"/>
        </w:rPr>
        <w:t xml:space="preserve"> 202</w:t>
      </w:r>
      <w:r w:rsidR="0078392D">
        <w:rPr>
          <w:rFonts w:ascii="Times New Roman" w:eastAsia="Calibri" w:hAnsi="Times New Roman"/>
          <w:sz w:val="28"/>
          <w:szCs w:val="28"/>
          <w:lang w:eastAsia="en-US"/>
        </w:rPr>
        <w:t>1</w:t>
      </w:r>
      <w:r w:rsidRPr="00D56D05">
        <w:rPr>
          <w:rFonts w:ascii="Times New Roman" w:eastAsia="Calibri" w:hAnsi="Times New Roman"/>
          <w:sz w:val="28"/>
          <w:szCs w:val="28"/>
          <w:lang w:eastAsia="en-US"/>
        </w:rPr>
        <w:t xml:space="preserve"> року, крім пункту </w:t>
      </w:r>
      <w:r w:rsidR="003D33E1">
        <w:rPr>
          <w:rFonts w:ascii="Times New Roman" w:eastAsia="Calibri" w:hAnsi="Times New Roman"/>
          <w:sz w:val="28"/>
          <w:szCs w:val="28"/>
          <w:lang w:eastAsia="en-US"/>
        </w:rPr>
        <w:t>7</w:t>
      </w:r>
      <w:r w:rsidRPr="00D56D05">
        <w:rPr>
          <w:rFonts w:ascii="Times New Roman" w:eastAsia="Calibri" w:hAnsi="Times New Roman"/>
          <w:sz w:val="28"/>
          <w:szCs w:val="28"/>
          <w:lang w:eastAsia="en-US"/>
        </w:rPr>
        <w:t xml:space="preserve"> </w:t>
      </w:r>
      <w:r w:rsidR="005073BE">
        <w:rPr>
          <w:rFonts w:ascii="Times New Roman" w:eastAsia="Calibri" w:hAnsi="Times New Roman"/>
          <w:sz w:val="28"/>
          <w:szCs w:val="28"/>
          <w:lang w:eastAsia="en-US"/>
        </w:rPr>
        <w:t xml:space="preserve">розділу </w:t>
      </w:r>
      <w:r w:rsidR="005073BE">
        <w:rPr>
          <w:rFonts w:ascii="Times New Roman" w:eastAsia="Calibri" w:hAnsi="Times New Roman"/>
          <w:sz w:val="28"/>
          <w:szCs w:val="28"/>
          <w:lang w:val="en-US" w:eastAsia="en-US"/>
        </w:rPr>
        <w:t>I</w:t>
      </w:r>
      <w:r w:rsidR="005073BE">
        <w:rPr>
          <w:rFonts w:ascii="Times New Roman" w:eastAsia="Calibri" w:hAnsi="Times New Roman"/>
          <w:sz w:val="28"/>
          <w:szCs w:val="28"/>
          <w:lang w:eastAsia="en-US"/>
        </w:rPr>
        <w:t xml:space="preserve"> цього </w:t>
      </w:r>
      <w:r w:rsidRPr="00D56D05">
        <w:rPr>
          <w:rFonts w:ascii="Times New Roman" w:eastAsia="Calibri" w:hAnsi="Times New Roman"/>
          <w:sz w:val="28"/>
          <w:szCs w:val="28"/>
          <w:lang w:eastAsia="en-US"/>
        </w:rPr>
        <w:t xml:space="preserve">Закону, який набирає чинності </w:t>
      </w:r>
      <w:r w:rsidR="005073BE">
        <w:rPr>
          <w:rFonts w:ascii="Times New Roman" w:eastAsia="Calibri" w:hAnsi="Times New Roman"/>
          <w:sz w:val="28"/>
          <w:szCs w:val="28"/>
          <w:lang w:eastAsia="en-US"/>
        </w:rPr>
        <w:t xml:space="preserve">з 1 </w:t>
      </w:r>
      <w:r w:rsidR="0078392D">
        <w:rPr>
          <w:rFonts w:ascii="Times New Roman" w:eastAsia="Calibri" w:hAnsi="Times New Roman"/>
          <w:sz w:val="28"/>
          <w:szCs w:val="28"/>
          <w:lang w:eastAsia="en-US"/>
        </w:rPr>
        <w:t>липня</w:t>
      </w:r>
      <w:r w:rsidR="005073BE">
        <w:rPr>
          <w:rFonts w:ascii="Times New Roman" w:eastAsia="Calibri" w:hAnsi="Times New Roman"/>
          <w:sz w:val="28"/>
          <w:szCs w:val="28"/>
          <w:lang w:eastAsia="en-US"/>
        </w:rPr>
        <w:t xml:space="preserve"> 2020 року</w:t>
      </w:r>
      <w:r w:rsidRPr="00D56D05">
        <w:rPr>
          <w:rFonts w:ascii="Times New Roman" w:eastAsia="Calibri" w:hAnsi="Times New Roman"/>
          <w:sz w:val="28"/>
          <w:szCs w:val="28"/>
          <w:lang w:eastAsia="en-US"/>
        </w:rPr>
        <w:t>.</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2. Установити, що тимчасово, до 1 січня 2</w:t>
      </w:r>
      <w:r w:rsidR="0078392D">
        <w:rPr>
          <w:rFonts w:ascii="Times New Roman" w:eastAsia="Calibri" w:hAnsi="Times New Roman"/>
          <w:sz w:val="28"/>
          <w:szCs w:val="28"/>
          <w:lang w:eastAsia="en-US"/>
        </w:rPr>
        <w:t>022</w:t>
      </w:r>
      <w:r w:rsidRPr="00D56D05">
        <w:rPr>
          <w:rFonts w:ascii="Times New Roman" w:eastAsia="Calibri" w:hAnsi="Times New Roman"/>
          <w:sz w:val="28"/>
          <w:szCs w:val="28"/>
          <w:lang w:eastAsia="en-US"/>
        </w:rPr>
        <w:t xml:space="preserve"> року, </w:t>
      </w:r>
      <w:r w:rsidR="005073BE">
        <w:rPr>
          <w:rFonts w:ascii="Times New Roman" w:eastAsia="Calibri" w:hAnsi="Times New Roman"/>
          <w:sz w:val="28"/>
          <w:szCs w:val="28"/>
          <w:lang w:eastAsia="en-US"/>
        </w:rPr>
        <w:t>величина коригуючого коефіцієнта</w:t>
      </w:r>
      <w:r w:rsidRPr="00D56D05">
        <w:rPr>
          <w:rFonts w:ascii="Times New Roman" w:eastAsia="Calibri" w:hAnsi="Times New Roman"/>
          <w:sz w:val="28"/>
          <w:szCs w:val="28"/>
          <w:lang w:eastAsia="en-US"/>
        </w:rPr>
        <w:t>, який визначаєть</w:t>
      </w:r>
      <w:r w:rsidR="005073BE">
        <w:rPr>
          <w:rFonts w:ascii="Times New Roman" w:eastAsia="Calibri" w:hAnsi="Times New Roman"/>
          <w:sz w:val="28"/>
          <w:szCs w:val="28"/>
          <w:lang w:eastAsia="en-US"/>
        </w:rPr>
        <w:t>ся відповідно до норм підпункту </w:t>
      </w:r>
      <w:r w:rsidRPr="00D56D05">
        <w:rPr>
          <w:rFonts w:ascii="Times New Roman" w:eastAsia="Calibri" w:hAnsi="Times New Roman"/>
          <w:sz w:val="28"/>
          <w:szCs w:val="28"/>
          <w:lang w:eastAsia="en-US"/>
        </w:rPr>
        <w:t>264</w:t>
      </w:r>
      <w:r w:rsidRPr="00D56D05">
        <w:rPr>
          <w:rFonts w:ascii="Times New Roman" w:eastAsia="Calibri" w:hAnsi="Times New Roman"/>
          <w:sz w:val="28"/>
          <w:szCs w:val="28"/>
          <w:vertAlign w:val="superscript"/>
          <w:lang w:eastAsia="en-US"/>
        </w:rPr>
        <w:t>1</w:t>
      </w:r>
      <w:r w:rsidR="005073BE">
        <w:rPr>
          <w:rFonts w:ascii="Times New Roman" w:eastAsia="Calibri" w:hAnsi="Times New Roman"/>
          <w:sz w:val="28"/>
          <w:szCs w:val="28"/>
          <w:lang w:eastAsia="en-US"/>
        </w:rPr>
        <w:t>.4.1</w:t>
      </w:r>
      <w:r w:rsidRPr="00D56D05">
        <w:rPr>
          <w:rFonts w:ascii="Times New Roman" w:eastAsia="Calibri" w:hAnsi="Times New Roman"/>
          <w:sz w:val="28"/>
          <w:szCs w:val="28"/>
          <w:lang w:eastAsia="en-US"/>
        </w:rPr>
        <w:t xml:space="preserve"> пункту 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.4 статті 264</w:t>
      </w:r>
      <w:r w:rsidRPr="00D56D05">
        <w:rPr>
          <w:rFonts w:ascii="Times New Roman" w:eastAsia="Calibri" w:hAnsi="Times New Roman"/>
          <w:sz w:val="28"/>
          <w:szCs w:val="28"/>
          <w:vertAlign w:val="superscript"/>
          <w:lang w:eastAsia="en-US"/>
        </w:rPr>
        <w:t>1</w:t>
      </w:r>
      <w:r w:rsidRPr="00D56D05">
        <w:rPr>
          <w:rFonts w:ascii="Times New Roman" w:eastAsia="Calibri" w:hAnsi="Times New Roman"/>
          <w:sz w:val="28"/>
          <w:szCs w:val="28"/>
          <w:lang w:eastAsia="en-US"/>
        </w:rPr>
        <w:t xml:space="preserve"> Податкового кодексу України залежно від строку з моменту отримання відповідного спеціального дозволу на користування надрами, дорівнює </w:t>
      </w:r>
      <w:r w:rsidR="005073BE">
        <w:rPr>
          <w:rFonts w:ascii="Times New Roman" w:eastAsia="Calibri" w:hAnsi="Times New Roman"/>
          <w:sz w:val="28"/>
          <w:szCs w:val="28"/>
          <w:lang w:eastAsia="en-US"/>
        </w:rPr>
        <w:t>1</w:t>
      </w:r>
      <w:r w:rsidRPr="00D56D05">
        <w:rPr>
          <w:rFonts w:ascii="Times New Roman" w:eastAsia="Calibri" w:hAnsi="Times New Roman"/>
          <w:sz w:val="28"/>
          <w:szCs w:val="28"/>
          <w:lang w:eastAsia="en-US"/>
        </w:rPr>
        <w:t>.</w:t>
      </w:r>
    </w:p>
    <w:p w:rsidR="003D33E1" w:rsidRPr="00D56D05" w:rsidP="003D33E1">
      <w:pPr>
        <w:pStyle w:val="a"/>
        <w:rPr>
          <w:rFonts w:ascii="Times New Roman" w:eastAsia="Calibri" w:hAnsi="Times New Roman"/>
          <w:sz w:val="28"/>
          <w:szCs w:val="28"/>
          <w:lang w:eastAsia="en-US"/>
        </w:rPr>
      </w:pPr>
      <w:r w:rsidRPr="00D56D05" w:rsidR="00D56D05">
        <w:rPr>
          <w:rFonts w:ascii="Times New Roman" w:eastAsia="Calibri" w:hAnsi="Times New Roman"/>
          <w:sz w:val="28"/>
          <w:szCs w:val="28"/>
          <w:lang w:eastAsia="en-US"/>
        </w:rPr>
        <w:t xml:space="preserve">3. </w:t>
      </w:r>
      <w:r w:rsidR="005073BE">
        <w:rPr>
          <w:rFonts w:ascii="Times New Roman" w:eastAsia="Calibri" w:hAnsi="Times New Roman"/>
          <w:sz w:val="28"/>
          <w:szCs w:val="28"/>
          <w:lang w:eastAsia="en-US"/>
        </w:rPr>
        <w:t>Внести зміни до таких законодавчих актів України</w:t>
      </w:r>
      <w:r w:rsidRPr="00D56D05">
        <w:rPr>
          <w:rFonts w:ascii="Times New Roman" w:eastAsia="Calibri" w:hAnsi="Times New Roman"/>
          <w:sz w:val="28"/>
          <w:szCs w:val="28"/>
          <w:lang w:eastAsia="en-US"/>
        </w:rPr>
        <w:t>:</w:t>
      </w:r>
    </w:p>
    <w:p w:rsidR="005073BE" w:rsidRPr="00D56D05" w:rsidP="005073BE">
      <w:pPr>
        <w:pStyle w:val="a"/>
        <w:rPr>
          <w:rFonts w:ascii="Times New Roman" w:eastAsia="Calibri" w:hAnsi="Times New Roman"/>
          <w:sz w:val="28"/>
          <w:szCs w:val="28"/>
          <w:lang w:eastAsia="en-US"/>
        </w:rPr>
      </w:pPr>
      <w:r>
        <w:rPr>
          <w:rFonts w:ascii="Times New Roman" w:eastAsia="Calibri" w:hAnsi="Times New Roman"/>
          <w:sz w:val="28"/>
          <w:szCs w:val="28"/>
          <w:lang w:eastAsia="en-US"/>
        </w:rPr>
        <w:t>1) у</w:t>
      </w:r>
      <w:r w:rsidRPr="00D56D05">
        <w:rPr>
          <w:rFonts w:ascii="Times New Roman" w:eastAsia="Calibri" w:hAnsi="Times New Roman"/>
          <w:sz w:val="28"/>
          <w:szCs w:val="28"/>
          <w:lang w:eastAsia="en-US"/>
        </w:rPr>
        <w:t xml:space="preserve"> статті 28 Кодексу України про надра (Відомості Верховної Ради України, 1994</w:t>
      </w:r>
      <w:r>
        <w:rPr>
          <w:rFonts w:ascii="Times New Roman" w:eastAsia="Calibri" w:hAnsi="Times New Roman"/>
          <w:sz w:val="28"/>
          <w:szCs w:val="28"/>
          <w:lang w:eastAsia="en-US"/>
        </w:rPr>
        <w:t xml:space="preserve"> р.</w:t>
      </w:r>
      <w:r w:rsidRPr="00D56D05">
        <w:rPr>
          <w:rFonts w:ascii="Times New Roman" w:eastAsia="Calibri" w:hAnsi="Times New Roman"/>
          <w:sz w:val="28"/>
          <w:szCs w:val="28"/>
          <w:lang w:eastAsia="en-US"/>
        </w:rPr>
        <w:t>, № 36, ст.</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340):</w:t>
      </w:r>
    </w:p>
    <w:p w:rsidR="005073BE" w:rsidRPr="00D56D05" w:rsidP="005073BE">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частину другу доповнити пунктом 3 такого змісту:</w:t>
      </w:r>
    </w:p>
    <w:p w:rsidR="005073BE" w:rsidRPr="00D56D05" w:rsidP="005073BE">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“3) плати за користування ділянками нафтогазоносних надр.”;</w:t>
      </w:r>
    </w:p>
    <w:p w:rsidR="005073BE" w:rsidP="005073BE">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частин</w:t>
      </w:r>
      <w:r>
        <w:rPr>
          <w:rFonts w:ascii="Times New Roman" w:eastAsia="Calibri" w:hAnsi="Times New Roman"/>
          <w:sz w:val="28"/>
          <w:szCs w:val="28"/>
          <w:lang w:eastAsia="en-US"/>
        </w:rPr>
        <w:t>у</w:t>
      </w:r>
      <w:r w:rsidRPr="00D56D05">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w:t>
      </w:r>
      <w:r>
        <w:rPr>
          <w:rFonts w:eastAsia="Calibri"/>
          <w:sz w:val="28"/>
          <w:szCs w:val="28"/>
          <w:lang w:eastAsia="en-US"/>
        </w:rPr>
        <w:t>’</w:t>
      </w:r>
      <w:r>
        <w:rPr>
          <w:rFonts w:ascii="Times New Roman" w:eastAsia="Calibri" w:hAnsi="Times New Roman"/>
          <w:sz w:val="28"/>
          <w:szCs w:val="28"/>
          <w:lang w:eastAsia="en-US"/>
        </w:rPr>
        <w:t>яту</w:t>
      </w:r>
      <w:r w:rsidRPr="00D56D05">
        <w:rPr>
          <w:rFonts w:ascii="Times New Roman" w:eastAsia="Calibri" w:hAnsi="Times New Roman"/>
          <w:sz w:val="28"/>
          <w:szCs w:val="28"/>
          <w:lang w:eastAsia="en-US"/>
        </w:rPr>
        <w:t xml:space="preserve"> після слів “</w:t>
      </w:r>
      <w:r w:rsidR="00980723">
        <w:rPr>
          <w:rFonts w:ascii="Times New Roman" w:eastAsia="Calibri" w:hAnsi="Times New Roman"/>
          <w:sz w:val="28"/>
          <w:szCs w:val="28"/>
          <w:lang w:eastAsia="en-US"/>
        </w:rPr>
        <w:t xml:space="preserve">для видобування </w:t>
      </w:r>
      <w:r w:rsidRPr="00D56D05">
        <w:rPr>
          <w:rFonts w:ascii="Times New Roman" w:eastAsia="Calibri" w:hAnsi="Times New Roman"/>
          <w:sz w:val="28"/>
          <w:szCs w:val="28"/>
          <w:lang w:eastAsia="en-US"/>
        </w:rPr>
        <w:t>корисних копалин” доповнити словами “</w:t>
      </w:r>
      <w:r>
        <w:rPr>
          <w:rFonts w:ascii="Times New Roman" w:eastAsia="Calibri" w:hAnsi="Times New Roman"/>
          <w:sz w:val="28"/>
          <w:szCs w:val="28"/>
          <w:lang w:eastAsia="en-US"/>
        </w:rPr>
        <w:t xml:space="preserve">, </w:t>
      </w:r>
      <w:r w:rsidRPr="00D56D05">
        <w:rPr>
          <w:rFonts w:ascii="Times New Roman" w:eastAsia="Calibri" w:hAnsi="Times New Roman"/>
          <w:sz w:val="28"/>
          <w:szCs w:val="28"/>
          <w:lang w:eastAsia="en-US"/>
        </w:rPr>
        <w:t>плата за користування ділянками нафтогазоно</w:t>
      </w:r>
      <w:r>
        <w:rPr>
          <w:rFonts w:ascii="Times New Roman" w:eastAsia="Calibri" w:hAnsi="Times New Roman"/>
          <w:sz w:val="28"/>
          <w:szCs w:val="28"/>
          <w:lang w:eastAsia="en-US"/>
        </w:rPr>
        <w:t>сних надр”;</w:t>
      </w:r>
    </w:p>
    <w:p w:rsidR="00980723" w:rsidRPr="00980723" w:rsidP="005073BE">
      <w:pPr>
        <w:pStyle w:val="a"/>
        <w:rPr>
          <w:rFonts w:ascii="Times New Roman" w:eastAsia="Calibri" w:hAnsi="Times New Roman"/>
          <w:sz w:val="28"/>
          <w:szCs w:val="28"/>
          <w:lang w:eastAsia="en-US"/>
        </w:rPr>
      </w:pPr>
      <w:r w:rsidRPr="00980723">
        <w:rPr>
          <w:rFonts w:ascii="Times New Roman" w:eastAsia="Calibri" w:hAnsi="Times New Roman"/>
          <w:sz w:val="28"/>
          <w:szCs w:val="28"/>
          <w:lang w:eastAsia="en-US"/>
        </w:rPr>
        <w:t xml:space="preserve">2) у статті 27 Закону України “Про нафту і газ” (Відомості Верховної Ради України, 2001 р., № 50, ст. 262; 2014 р., № 2—3, ст. 41; 2018 р., № 15, ст. 121): </w:t>
      </w:r>
    </w:p>
    <w:p w:rsidR="003D33E1" w:rsidRPr="00D56D05" w:rsidP="003D33E1">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частину першу доповнити абзацом такого змісту:</w:t>
      </w:r>
    </w:p>
    <w:p w:rsidR="003D33E1" w:rsidRPr="00D56D05" w:rsidP="003D33E1">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“заборгован</w:t>
      </w:r>
      <w:r w:rsidR="005073BE">
        <w:rPr>
          <w:rFonts w:ascii="Times New Roman" w:eastAsia="Calibri" w:hAnsi="Times New Roman"/>
          <w:sz w:val="28"/>
          <w:szCs w:val="28"/>
          <w:lang w:eastAsia="en-US"/>
        </w:rPr>
        <w:t>ості з</w:t>
      </w:r>
      <w:r w:rsidRPr="00D56D05">
        <w:rPr>
          <w:rFonts w:ascii="Times New Roman" w:eastAsia="Calibri" w:hAnsi="Times New Roman"/>
          <w:sz w:val="28"/>
          <w:szCs w:val="28"/>
          <w:lang w:eastAsia="en-US"/>
        </w:rPr>
        <w:t xml:space="preserve"> плати за користування ділянками нафтогазоносних надр.”;</w:t>
      </w:r>
    </w:p>
    <w:p w:rsidR="003D33E1" w:rsidRPr="00D56D05" w:rsidP="003D33E1">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у частині другій слово “сьомим” замінити словом “дев</w:t>
      </w:r>
      <w:r>
        <w:rPr>
          <w:rFonts w:ascii="Times New Roman" w:eastAsia="Calibri" w:hAnsi="Times New Roman"/>
          <w:sz w:val="28"/>
          <w:szCs w:val="28"/>
          <w:lang w:eastAsia="en-US"/>
        </w:rPr>
        <w:t>’</w:t>
      </w:r>
      <w:r w:rsidRPr="00D56D05">
        <w:rPr>
          <w:rFonts w:ascii="Times New Roman" w:eastAsia="Calibri" w:hAnsi="Times New Roman"/>
          <w:sz w:val="28"/>
          <w:szCs w:val="28"/>
          <w:lang w:eastAsia="en-US"/>
        </w:rPr>
        <w:t>ятим”;</w:t>
      </w:r>
    </w:p>
    <w:p w:rsidR="003D33E1" w:rsidRPr="00D56D05" w:rsidP="003D33E1">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доповнити </w:t>
      </w:r>
      <w:r>
        <w:rPr>
          <w:rFonts w:ascii="Times New Roman" w:eastAsia="Calibri" w:hAnsi="Times New Roman"/>
          <w:sz w:val="28"/>
          <w:szCs w:val="28"/>
          <w:lang w:eastAsia="en-US"/>
        </w:rPr>
        <w:t>статтю</w:t>
      </w:r>
      <w:r w:rsidRPr="00D56D05">
        <w:rPr>
          <w:rFonts w:ascii="Times New Roman" w:eastAsia="Calibri" w:hAnsi="Times New Roman"/>
          <w:sz w:val="28"/>
          <w:szCs w:val="28"/>
          <w:lang w:eastAsia="en-US"/>
        </w:rPr>
        <w:t xml:space="preserve"> частиною такого змісту:</w:t>
      </w:r>
    </w:p>
    <w:p w:rsidR="00D56D05" w:rsidRPr="00D56D05" w:rsidP="003D33E1">
      <w:pPr>
        <w:pStyle w:val="a"/>
        <w:rPr>
          <w:rFonts w:ascii="Times New Roman" w:eastAsia="Calibri" w:hAnsi="Times New Roman"/>
          <w:sz w:val="28"/>
          <w:szCs w:val="28"/>
          <w:lang w:eastAsia="en-US"/>
        </w:rPr>
      </w:pPr>
      <w:r w:rsidRPr="00D56D05" w:rsidR="003D33E1">
        <w:rPr>
          <w:rFonts w:ascii="Times New Roman" w:eastAsia="Calibri" w:hAnsi="Times New Roman"/>
          <w:sz w:val="28"/>
          <w:szCs w:val="28"/>
          <w:lang w:eastAsia="en-US"/>
        </w:rPr>
        <w:t>“Не</w:t>
      </w:r>
      <w:r w:rsidR="003D33E1">
        <w:rPr>
          <w:rFonts w:ascii="Times New Roman" w:eastAsia="Calibri" w:hAnsi="Times New Roman"/>
          <w:sz w:val="28"/>
          <w:szCs w:val="28"/>
          <w:lang w:eastAsia="en-US"/>
        </w:rPr>
        <w:t>внесення</w:t>
      </w:r>
      <w:r w:rsidRPr="00D56D05" w:rsidR="003D33E1">
        <w:rPr>
          <w:rFonts w:ascii="Times New Roman" w:eastAsia="Calibri" w:hAnsi="Times New Roman"/>
          <w:sz w:val="28"/>
          <w:szCs w:val="28"/>
          <w:lang w:eastAsia="en-US"/>
        </w:rPr>
        <w:t xml:space="preserve"> плати за користування ділянками нафтогазоносних надр протягом понад трьох місяців, </w:t>
      </w:r>
      <w:r w:rsidR="00CC1791">
        <w:rPr>
          <w:rFonts w:ascii="Times New Roman" w:eastAsia="Calibri" w:hAnsi="Times New Roman"/>
          <w:sz w:val="28"/>
          <w:szCs w:val="28"/>
          <w:lang w:eastAsia="en-US"/>
        </w:rPr>
        <w:t>що підтверджено</w:t>
      </w:r>
      <w:r w:rsidRPr="00D56D05" w:rsidR="003D33E1">
        <w:rPr>
          <w:rFonts w:ascii="Times New Roman" w:eastAsia="Calibri" w:hAnsi="Times New Roman"/>
          <w:sz w:val="28"/>
          <w:szCs w:val="28"/>
          <w:lang w:eastAsia="en-US"/>
        </w:rPr>
        <w:t xml:space="preserve"> висновками відповідних державних</w:t>
      </w:r>
      <w:r w:rsidR="003D33E1">
        <w:rPr>
          <w:rFonts w:ascii="Times New Roman" w:eastAsia="Calibri" w:hAnsi="Times New Roman"/>
          <w:sz w:val="28"/>
          <w:szCs w:val="28"/>
          <w:lang w:eastAsia="en-US"/>
        </w:rPr>
        <w:t xml:space="preserve"> </w:t>
      </w:r>
      <w:r w:rsidRPr="00D56D05" w:rsidR="003D33E1">
        <w:rPr>
          <w:rFonts w:ascii="Times New Roman" w:eastAsia="Calibri" w:hAnsi="Times New Roman"/>
          <w:sz w:val="28"/>
          <w:szCs w:val="28"/>
          <w:lang w:eastAsia="en-US"/>
        </w:rPr>
        <w:t>органів, є обов</w:t>
      </w:r>
      <w:r w:rsidR="003D33E1">
        <w:rPr>
          <w:rFonts w:ascii="Times New Roman" w:eastAsia="Calibri" w:hAnsi="Times New Roman"/>
          <w:sz w:val="28"/>
          <w:szCs w:val="28"/>
          <w:lang w:eastAsia="en-US"/>
        </w:rPr>
        <w:t>’</w:t>
      </w:r>
      <w:r w:rsidRPr="00D56D05" w:rsidR="003D33E1">
        <w:rPr>
          <w:rFonts w:ascii="Times New Roman" w:eastAsia="Calibri" w:hAnsi="Times New Roman"/>
          <w:sz w:val="28"/>
          <w:szCs w:val="28"/>
          <w:lang w:eastAsia="en-US"/>
        </w:rPr>
        <w:t>язковою підставою для початку процедури анулювання спеціального дозволу на користування нафтогазоносними надрами в судовому порядку</w:t>
      </w:r>
      <w:r w:rsidR="005073BE">
        <w:rPr>
          <w:rFonts w:ascii="Times New Roman" w:eastAsia="Calibri" w:hAnsi="Times New Roman"/>
          <w:sz w:val="28"/>
          <w:szCs w:val="28"/>
          <w:lang w:eastAsia="en-US"/>
        </w:rPr>
        <w:t>.”.</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4. Кабінету Міністрів України </w:t>
      </w:r>
      <w:r w:rsidR="005073BE">
        <w:rPr>
          <w:rFonts w:ascii="Times New Roman" w:eastAsia="Calibri" w:hAnsi="Times New Roman"/>
          <w:sz w:val="28"/>
          <w:szCs w:val="28"/>
          <w:lang w:eastAsia="en-US"/>
        </w:rPr>
        <w:t xml:space="preserve">в місячний строк </w:t>
      </w:r>
      <w:r w:rsidRPr="00D56D05">
        <w:rPr>
          <w:rFonts w:ascii="Times New Roman" w:eastAsia="Calibri" w:hAnsi="Times New Roman"/>
          <w:sz w:val="28"/>
          <w:szCs w:val="28"/>
          <w:lang w:eastAsia="en-US"/>
        </w:rPr>
        <w:t>з дня набрання чинності цим Законом:</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 xml:space="preserve">привести </w:t>
      </w:r>
      <w:r w:rsidR="003D33E1">
        <w:rPr>
          <w:rFonts w:ascii="Times New Roman" w:eastAsia="Calibri" w:hAnsi="Times New Roman"/>
          <w:sz w:val="28"/>
          <w:szCs w:val="28"/>
          <w:lang w:eastAsia="en-US"/>
        </w:rPr>
        <w:t>власні</w:t>
      </w:r>
      <w:r w:rsidRPr="00D56D05">
        <w:rPr>
          <w:rFonts w:ascii="Times New Roman" w:eastAsia="Calibri" w:hAnsi="Times New Roman"/>
          <w:sz w:val="28"/>
          <w:szCs w:val="28"/>
          <w:lang w:eastAsia="en-US"/>
        </w:rPr>
        <w:t xml:space="preserve"> нормативно-правові акти у відповідність із цим Законом;</w:t>
      </w:r>
    </w:p>
    <w:p w:rsidR="00D56D05" w:rsidRPr="00D56D05" w:rsidP="00D56D05">
      <w:pPr>
        <w:pStyle w:val="a"/>
        <w:rPr>
          <w:rFonts w:ascii="Times New Roman" w:eastAsia="Calibri" w:hAnsi="Times New Roman"/>
          <w:sz w:val="28"/>
          <w:szCs w:val="28"/>
          <w:lang w:eastAsia="en-US"/>
        </w:rPr>
      </w:pPr>
      <w:r w:rsidRPr="00D56D05">
        <w:rPr>
          <w:rFonts w:ascii="Times New Roman" w:eastAsia="Calibri" w:hAnsi="Times New Roman"/>
          <w:sz w:val="28"/>
          <w:szCs w:val="28"/>
          <w:lang w:eastAsia="en-US"/>
        </w:rPr>
        <w:t>забезпечити перегляд та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P="002B53D3">
      <w:pPr>
        <w:spacing w:before="720"/>
        <w:rPr>
          <w:rFonts w:ascii="Times New Roman" w:hAnsi="Times New Roman"/>
          <w:b/>
          <w:sz w:val="28"/>
          <w:szCs w:val="28"/>
        </w:rPr>
      </w:pPr>
      <w:r w:rsidR="00D56D05">
        <w:rPr>
          <w:rFonts w:ascii="Times New Roman" w:hAnsi="Times New Roman"/>
          <w:b/>
          <w:sz w:val="28"/>
          <w:szCs w:val="28"/>
        </w:rPr>
        <w:t xml:space="preserve">             </w:t>
      </w:r>
      <w:r w:rsidRPr="004F402D">
        <w:rPr>
          <w:rFonts w:ascii="Times New Roman" w:hAnsi="Times New Roman"/>
          <w:b/>
          <w:sz w:val="28"/>
          <w:szCs w:val="28"/>
        </w:rPr>
        <w:t xml:space="preserve">Голова </w:t>
        <w:br/>
        <w:t>Верховної Ради України</w:t>
      </w:r>
    </w:p>
    <w:p w:rsidR="002B53D3" w:rsidRPr="00096D61" w:rsidP="002B53D3">
      <w:pPr>
        <w:rPr>
          <w:szCs w:val="28"/>
        </w:rPr>
      </w:pPr>
    </w:p>
    <w:p w:rsidR="005C3CB4"/>
    <w:sectPr w:rsidSect="00F44363">
      <w:headerReference w:type="even" r:id="rId5"/>
      <w:headerReference w:type="default" r:id="rId6"/>
      <w:pgSz w:w="11906" w:h="16838" w:code="9"/>
      <w:pgMar w:top="1134"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sidR="006B566D">
      <w:rPr>
        <w:noProof/>
      </w:rPr>
      <w:t>2</w:t>
    </w:r>
    <w:r>
      <w:fldChar w:fldCharType="end"/>
    </w:r>
  </w:p>
  <w:p w:rsidR="00445A6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011A3"/>
    <w:rsid w:val="0000200C"/>
    <w:rsid w:val="00031957"/>
    <w:rsid w:val="00045D81"/>
    <w:rsid w:val="00057A8E"/>
    <w:rsid w:val="00096D61"/>
    <w:rsid w:val="000C703E"/>
    <w:rsid w:val="00213A0E"/>
    <w:rsid w:val="002162A1"/>
    <w:rsid w:val="002223C5"/>
    <w:rsid w:val="00222A07"/>
    <w:rsid w:val="002729B5"/>
    <w:rsid w:val="002B53D3"/>
    <w:rsid w:val="002B565B"/>
    <w:rsid w:val="002D5098"/>
    <w:rsid w:val="002F1A96"/>
    <w:rsid w:val="00323A58"/>
    <w:rsid w:val="003D33E1"/>
    <w:rsid w:val="0041355F"/>
    <w:rsid w:val="00424A6C"/>
    <w:rsid w:val="00445A63"/>
    <w:rsid w:val="00455CFC"/>
    <w:rsid w:val="00485F3E"/>
    <w:rsid w:val="004B4AFC"/>
    <w:rsid w:val="004D5F22"/>
    <w:rsid w:val="004F402D"/>
    <w:rsid w:val="005073BE"/>
    <w:rsid w:val="00542299"/>
    <w:rsid w:val="00570264"/>
    <w:rsid w:val="005C3CB4"/>
    <w:rsid w:val="006B566D"/>
    <w:rsid w:val="006C6D58"/>
    <w:rsid w:val="00707591"/>
    <w:rsid w:val="00720661"/>
    <w:rsid w:val="007418D1"/>
    <w:rsid w:val="00757FFD"/>
    <w:rsid w:val="00764C95"/>
    <w:rsid w:val="00771066"/>
    <w:rsid w:val="00780723"/>
    <w:rsid w:val="0078392D"/>
    <w:rsid w:val="007B5FAB"/>
    <w:rsid w:val="007D1318"/>
    <w:rsid w:val="008016F2"/>
    <w:rsid w:val="00877C33"/>
    <w:rsid w:val="008D506E"/>
    <w:rsid w:val="008E0FCE"/>
    <w:rsid w:val="00906AB0"/>
    <w:rsid w:val="00980723"/>
    <w:rsid w:val="009C51C6"/>
    <w:rsid w:val="009D1B4C"/>
    <w:rsid w:val="009D478C"/>
    <w:rsid w:val="00A455BA"/>
    <w:rsid w:val="00A74D26"/>
    <w:rsid w:val="00AA5FD0"/>
    <w:rsid w:val="00AB5865"/>
    <w:rsid w:val="00AD6988"/>
    <w:rsid w:val="00AE0C05"/>
    <w:rsid w:val="00B32067"/>
    <w:rsid w:val="00B4781A"/>
    <w:rsid w:val="00B76F4B"/>
    <w:rsid w:val="00BB56AD"/>
    <w:rsid w:val="00C3481E"/>
    <w:rsid w:val="00C90A80"/>
    <w:rsid w:val="00C96006"/>
    <w:rsid w:val="00CC1791"/>
    <w:rsid w:val="00CF44CE"/>
    <w:rsid w:val="00D362F5"/>
    <w:rsid w:val="00D4191B"/>
    <w:rsid w:val="00D56D05"/>
    <w:rsid w:val="00D636A4"/>
    <w:rsid w:val="00DB01C2"/>
    <w:rsid w:val="00DB2A0A"/>
    <w:rsid w:val="00DC5C74"/>
    <w:rsid w:val="00DE1293"/>
    <w:rsid w:val="00E7688D"/>
    <w:rsid w:val="00E806F4"/>
    <w:rsid w:val="00F37B32"/>
    <w:rsid w:val="00F44363"/>
    <w:rsid w:val="00F56BEF"/>
    <w:rsid w:val="00F856FB"/>
    <w:rsid w:val="00FD2201"/>
    <w:rsid w:val="00FF391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Нормальний текст"/>
    <w:basedOn w:val="Normal"/>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pPr>
  </w:style>
  <w:style w:type="paragraph" w:styleId="Header">
    <w:name w:val="header"/>
    <w:basedOn w:val="Normal"/>
    <w:rsid w:val="008E0FCE"/>
    <w:pPr>
      <w:tabs>
        <w:tab w:val="center" w:pos="4819"/>
        <w:tab w:val="right" w:pos="9639"/>
      </w:tabs>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38247-35EC-468C-B1F9-4E10BDA92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1489</Words>
  <Characters>9936</Characters>
  <Application>Microsoft Office Word</Application>
  <DocSecurity>0</DocSecurity>
  <Lines>231</Lines>
  <Paragraphs>107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3</cp:revision>
  <dcterms:created xsi:type="dcterms:W3CDTF">2020-01-24T09:04:00Z</dcterms:created>
  <dcterms:modified xsi:type="dcterms:W3CDTF">2020-01-24T09:04:00Z</dcterms:modified>
</cp:coreProperties>
</file>