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C5" w:rsidRDefault="000B537C" w:rsidP="00D311C5">
      <w:pPr>
        <w:ind w:firstLine="284"/>
        <w:jc w:val="center"/>
        <w:rPr>
          <w:b/>
          <w:szCs w:val="28"/>
        </w:rPr>
      </w:pPr>
      <w:r w:rsidRPr="00E76D17">
        <w:rPr>
          <w:b/>
          <w:szCs w:val="28"/>
          <w:lang w:eastAsia="uk-UA"/>
        </w:rPr>
        <w:t>ПОЯСНЮВАЛЬНА ЗАПИСКА </w:t>
      </w:r>
      <w:r w:rsidRPr="00E76D17">
        <w:rPr>
          <w:b/>
          <w:szCs w:val="28"/>
          <w:lang w:eastAsia="uk-UA"/>
        </w:rPr>
        <w:br/>
      </w:r>
      <w:r w:rsidR="00D311C5" w:rsidRPr="00F226FB">
        <w:rPr>
          <w:b/>
          <w:szCs w:val="28"/>
        </w:rPr>
        <w:t xml:space="preserve">до проекту Закону України </w:t>
      </w:r>
    </w:p>
    <w:p w:rsidR="00D311C5" w:rsidRDefault="00D311C5" w:rsidP="009A4104">
      <w:pPr>
        <w:ind w:firstLine="284"/>
        <w:jc w:val="center"/>
        <w:rPr>
          <w:b/>
          <w:szCs w:val="28"/>
        </w:rPr>
      </w:pPr>
      <w:r w:rsidRPr="00F226FB">
        <w:rPr>
          <w:b/>
          <w:szCs w:val="28"/>
        </w:rPr>
        <w:t>„</w:t>
      </w:r>
      <w:r w:rsidR="00A4182D" w:rsidRPr="00A4182D">
        <w:rPr>
          <w:b/>
          <w:szCs w:val="28"/>
        </w:rPr>
        <w:t>Про внесення зміни до розділу VI „Прикінцеві та перехідні положення” Бюджетного кодексу України щодо створення передумов для підвищення прожиткового мінімуму</w:t>
      </w:r>
      <w:r w:rsidRPr="00F226FB">
        <w:rPr>
          <w:b/>
          <w:szCs w:val="28"/>
        </w:rPr>
        <w:t>”</w:t>
      </w:r>
    </w:p>
    <w:p w:rsidR="00D07179" w:rsidRPr="00D07179" w:rsidRDefault="00D07179" w:rsidP="00D07179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179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474A67" w:rsidRPr="00FD657C" w:rsidRDefault="00FD657C" w:rsidP="00FD657C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76A4">
        <w:rPr>
          <w:rFonts w:ascii="Times New Roman" w:hAnsi="Times New Roman" w:cs="Times New Roman"/>
          <w:color w:val="000000"/>
          <w:sz w:val="28"/>
          <w:szCs w:val="28"/>
        </w:rPr>
        <w:t>Метою розробки проекту акта є о</w:t>
      </w:r>
      <w:r w:rsidR="00DB284D">
        <w:rPr>
          <w:rFonts w:ascii="Times New Roman" w:hAnsi="Times New Roman" w:cs="Times New Roman"/>
          <w:color w:val="000000"/>
          <w:sz w:val="28"/>
          <w:szCs w:val="28"/>
        </w:rPr>
        <w:t xml:space="preserve">птимізація механізму застосування </w:t>
      </w:r>
      <w:r w:rsidR="006452BA">
        <w:rPr>
          <w:rFonts w:ascii="Times New Roman" w:hAnsi="Times New Roman" w:cs="Times New Roman"/>
          <w:color w:val="000000"/>
          <w:sz w:val="28"/>
          <w:szCs w:val="28"/>
        </w:rPr>
        <w:t>розрахункової величини</w:t>
      </w:r>
      <w:r w:rsidR="00B85BC7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DB284D">
        <w:rPr>
          <w:rFonts w:ascii="Times New Roman" w:hAnsi="Times New Roman" w:cs="Times New Roman"/>
          <w:color w:val="000000"/>
          <w:sz w:val="28"/>
          <w:szCs w:val="28"/>
        </w:rPr>
        <w:t>визначенн</w:t>
      </w:r>
      <w:r w:rsidR="00B85BC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B2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03C5">
        <w:rPr>
          <w:rFonts w:ascii="Times New Roman" w:hAnsi="Times New Roman" w:cs="Times New Roman"/>
          <w:color w:val="000000"/>
          <w:sz w:val="28"/>
          <w:szCs w:val="28"/>
        </w:rPr>
        <w:t xml:space="preserve">розмірів </w:t>
      </w:r>
      <w:r w:rsidR="006D4D3D">
        <w:rPr>
          <w:rFonts w:ascii="Times New Roman" w:hAnsi="Times New Roman" w:cs="Times New Roman"/>
          <w:color w:val="000000"/>
          <w:sz w:val="28"/>
          <w:szCs w:val="28"/>
        </w:rPr>
        <w:t xml:space="preserve">посадових окладів окремих категорій </w:t>
      </w:r>
      <w:r w:rsidR="00592E7F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r w:rsidR="006D4D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6D17" w:rsidRDefault="00FD657C" w:rsidP="008F558A">
      <w:pPr>
        <w:pStyle w:val="a3"/>
        <w:numPr>
          <w:ilvl w:val="0"/>
          <w:numId w:val="3"/>
        </w:numPr>
        <w:jc w:val="both"/>
        <w:rPr>
          <w:b/>
          <w:szCs w:val="28"/>
          <w:lang w:eastAsia="uk-UA"/>
        </w:rPr>
      </w:pPr>
      <w:bookmarkStart w:id="0" w:name="n1703"/>
      <w:bookmarkEnd w:id="0"/>
      <w:r>
        <w:rPr>
          <w:b/>
          <w:szCs w:val="28"/>
          <w:lang w:eastAsia="uk-UA"/>
        </w:rPr>
        <w:t>Проблема, яка потребує розв’язання</w:t>
      </w:r>
    </w:p>
    <w:p w:rsidR="00B85BC7" w:rsidRDefault="008F558A" w:rsidP="00592E7F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n1704"/>
      <w:bookmarkStart w:id="2" w:name="n1705"/>
      <w:bookmarkEnd w:id="1"/>
      <w:bookmarkEnd w:id="2"/>
      <w:r>
        <w:rPr>
          <w:iCs/>
          <w:color w:val="000000"/>
          <w:sz w:val="27"/>
          <w:szCs w:val="27"/>
        </w:rPr>
        <w:tab/>
      </w:r>
      <w:r w:rsidR="00D803C5" w:rsidRPr="005242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даний час для визначення розмірів посадових окладів </w:t>
      </w:r>
      <w:r w:rsidR="006D4D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для </w:t>
      </w:r>
      <w:r w:rsidR="00D803C5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працівників установ, закладів організацій окремих галузей бюджетної сфери, </w:t>
      </w:r>
      <w:r w:rsidR="006D4D3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D803C5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працівників державних органів, органів прокуратури, суддів, </w:t>
      </w:r>
      <w:r w:rsidR="006D4D3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D803C5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військовослужбовців, осіб рядового і начальницького складу </w:t>
      </w:r>
      <w:r w:rsidR="00AE1FF8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застосовується </w:t>
      </w:r>
      <w:r w:rsidR="00D803C5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як розрахункова величина </w:t>
      </w:r>
      <w:r w:rsidR="0052421F" w:rsidRPr="0052421F">
        <w:rPr>
          <w:rStyle w:val="rvts0"/>
          <w:rFonts w:ascii="Times New Roman" w:hAnsi="Times New Roman" w:cs="Times New Roman"/>
          <w:sz w:val="28"/>
          <w:szCs w:val="28"/>
        </w:rPr>
        <w:t>прожитковий мінімум, встановлений для працездатних осіб на 1 січня календарного року</w:t>
      </w:r>
      <w:r w:rsidR="00D803C5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115CA" w:rsidRDefault="00B85BC7" w:rsidP="00592E7F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Прожитковий мінімум має значний вплив при плануванні видатків бюджетів усіх рівнів, оскільки на його основі визначається велика кількість</w:t>
      </w:r>
      <w:r w:rsidR="00D803C5" w:rsidRPr="00524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виплат і допомог. Отже будь-яке збільшення розміру прожиткового мінімуму призводить до їх автоматичного перерахунку </w:t>
      </w:r>
      <w:r w:rsidR="00E44E1A">
        <w:rPr>
          <w:rFonts w:ascii="Times New Roman" w:hAnsi="Times New Roman" w:cs="Times New Roman"/>
          <w:color w:val="000000"/>
          <w:sz w:val="28"/>
          <w:szCs w:val="28"/>
        </w:rPr>
        <w:t>та необхідності вишукання додаткових видатків бюджетів.</w:t>
      </w:r>
    </w:p>
    <w:p w:rsidR="008F558A" w:rsidRDefault="00D115CA" w:rsidP="00592E7F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Підвищення прожиткового мінімум без урахування реальних фінансових можливостей країни може призвести до негативних наслідків, зокрема, збільшення дефіциту Пенсійного Фонду, заборгованості із виплати заробітної плати.</w:t>
      </w:r>
    </w:p>
    <w:p w:rsidR="00592E7F" w:rsidRDefault="006D4D3D" w:rsidP="00592E7F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Від розміру реально обрахованого прожиткового мінімуму мають залежати тільки соціальні виплати, які є основним джерелом існування. Це, в свою чергу, має створити можливості для ефективного бюджетного планування, а також забезпечить передумови для суттєвого підвищення прожиткового мінімуму. </w:t>
      </w:r>
    </w:p>
    <w:p w:rsidR="00592E7F" w:rsidRDefault="00592E7F" w:rsidP="00592E7F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448B2" w:rsidRPr="00592E7F" w:rsidRDefault="006D32E5" w:rsidP="00592E7F">
      <w:pPr>
        <w:pStyle w:val="a5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iCs/>
          <w:color w:val="000000"/>
          <w:sz w:val="27"/>
          <w:szCs w:val="27"/>
        </w:rPr>
        <w:tab/>
      </w:r>
      <w:r w:rsidR="000B537C" w:rsidRPr="00592E7F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3. Суть проекту акта</w:t>
      </w:r>
      <w:bookmarkStart w:id="3" w:name="n1709"/>
      <w:bookmarkStart w:id="4" w:name="n1711"/>
      <w:bookmarkEnd w:id="3"/>
      <w:bookmarkEnd w:id="4"/>
    </w:p>
    <w:p w:rsidR="00502BAB" w:rsidRPr="006D4D3D" w:rsidRDefault="006D4D3D" w:rsidP="006D4D3D">
      <w:pPr>
        <w:pStyle w:val="a3"/>
        <w:ind w:firstLine="709"/>
        <w:jc w:val="both"/>
        <w:rPr>
          <w:rFonts w:eastAsia="Times New Roman"/>
          <w:bCs/>
          <w:color w:val="000000"/>
          <w:szCs w:val="28"/>
          <w:lang w:eastAsia="uk-UA"/>
        </w:rPr>
      </w:pPr>
      <w:r w:rsidRPr="006D4D3D">
        <w:rPr>
          <w:rFonts w:eastAsia="Times New Roman"/>
          <w:bCs/>
          <w:color w:val="000000"/>
          <w:szCs w:val="28"/>
          <w:lang w:eastAsia="uk-UA"/>
        </w:rPr>
        <w:t xml:space="preserve">Проект акта </w:t>
      </w:r>
      <w:r>
        <w:rPr>
          <w:rFonts w:eastAsia="Times New Roman"/>
          <w:bCs/>
          <w:color w:val="000000"/>
          <w:szCs w:val="28"/>
          <w:lang w:eastAsia="uk-UA"/>
        </w:rPr>
        <w:t xml:space="preserve">передбачає доповнення Прикінцевих і перехідних положень Бюджетного кодексу України нормою щодо зміни підходів до визначення мінімального розміру посадового окладу, який застосовується як розрахункова величина при визначенні посадових окладів для таких категорій: </w:t>
      </w:r>
      <w:r>
        <w:rPr>
          <w:iCs/>
          <w:color w:val="000000"/>
          <w:szCs w:val="28"/>
        </w:rPr>
        <w:t xml:space="preserve">для </w:t>
      </w:r>
      <w:r w:rsidRPr="0052421F">
        <w:rPr>
          <w:color w:val="000000"/>
          <w:szCs w:val="28"/>
        </w:rPr>
        <w:t xml:space="preserve">працівників установ, закладів організацій окремих галузей бюджетної сфери, </w:t>
      </w:r>
      <w:r>
        <w:rPr>
          <w:color w:val="000000"/>
          <w:szCs w:val="28"/>
        </w:rPr>
        <w:t xml:space="preserve">для </w:t>
      </w:r>
      <w:r w:rsidRPr="0052421F">
        <w:rPr>
          <w:color w:val="000000"/>
          <w:szCs w:val="28"/>
        </w:rPr>
        <w:t xml:space="preserve">працівників державних органів, органів прокуратури, суддів, </w:t>
      </w:r>
      <w:r>
        <w:rPr>
          <w:color w:val="000000"/>
          <w:szCs w:val="28"/>
        </w:rPr>
        <w:t xml:space="preserve">для </w:t>
      </w:r>
      <w:r w:rsidRPr="0052421F">
        <w:rPr>
          <w:color w:val="000000"/>
          <w:szCs w:val="28"/>
        </w:rPr>
        <w:t>військовослужбовців, осіб рядового і начальницького складу</w:t>
      </w:r>
      <w:r>
        <w:rPr>
          <w:color w:val="000000"/>
          <w:szCs w:val="28"/>
        </w:rPr>
        <w:t>.</w:t>
      </w:r>
    </w:p>
    <w:p w:rsidR="006D4D3D" w:rsidRDefault="006D4D3D" w:rsidP="006D4D3D">
      <w:pPr>
        <w:pStyle w:val="a3"/>
        <w:ind w:firstLine="709"/>
        <w:jc w:val="both"/>
        <w:rPr>
          <w:rFonts w:eastAsia="Times New Roman"/>
          <w:b/>
          <w:bCs/>
          <w:color w:val="000000"/>
          <w:szCs w:val="28"/>
          <w:lang w:eastAsia="uk-UA"/>
        </w:rPr>
      </w:pPr>
    </w:p>
    <w:p w:rsidR="00987C14" w:rsidRDefault="00987C14" w:rsidP="00987C14">
      <w:pPr>
        <w:pStyle w:val="a3"/>
        <w:ind w:firstLine="709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lang w:eastAsia="uk-UA"/>
        </w:rPr>
        <w:t>4</w:t>
      </w:r>
      <w:r w:rsidRPr="000448B2">
        <w:rPr>
          <w:rFonts w:eastAsia="Times New Roman"/>
          <w:b/>
          <w:bCs/>
          <w:color w:val="000000"/>
          <w:szCs w:val="28"/>
          <w:lang w:eastAsia="uk-UA"/>
        </w:rPr>
        <w:t xml:space="preserve">. </w:t>
      </w:r>
      <w:r>
        <w:rPr>
          <w:rFonts w:eastAsia="Times New Roman"/>
          <w:b/>
          <w:bCs/>
          <w:color w:val="000000"/>
          <w:szCs w:val="28"/>
          <w:lang w:eastAsia="uk-UA"/>
        </w:rPr>
        <w:t>Вплив на бюджет</w:t>
      </w:r>
    </w:p>
    <w:p w:rsidR="00987C14" w:rsidRDefault="006D4D3D" w:rsidP="00987C14">
      <w:pPr>
        <w:ind w:firstLine="709"/>
        <w:jc w:val="both"/>
        <w:rPr>
          <w:bCs/>
          <w:color w:val="000000"/>
          <w:szCs w:val="28"/>
        </w:rPr>
      </w:pPr>
      <w:bookmarkStart w:id="5" w:name="n1714"/>
      <w:bookmarkStart w:id="6" w:name="n1716"/>
      <w:bookmarkEnd w:id="5"/>
      <w:bookmarkEnd w:id="6"/>
      <w:r>
        <w:rPr>
          <w:bCs/>
          <w:color w:val="000000"/>
          <w:szCs w:val="28"/>
        </w:rPr>
        <w:t>Фінансування передбачається здійснювати у межах коштів державного та місцевих бюджетів, інших не заборонених законодавством джерел.</w:t>
      </w:r>
    </w:p>
    <w:p w:rsidR="002D4965" w:rsidRDefault="002D4965" w:rsidP="002D4965">
      <w:pPr>
        <w:pStyle w:val="a3"/>
        <w:ind w:firstLine="709"/>
        <w:rPr>
          <w:rFonts w:eastAsia="Times New Roman"/>
          <w:b/>
          <w:bCs/>
          <w:color w:val="000000"/>
          <w:szCs w:val="28"/>
          <w:lang w:eastAsia="uk-UA"/>
        </w:rPr>
      </w:pPr>
    </w:p>
    <w:p w:rsidR="002D4965" w:rsidRPr="002D4965" w:rsidRDefault="002D4965" w:rsidP="002D4965">
      <w:pPr>
        <w:pStyle w:val="a3"/>
        <w:ind w:firstLine="709"/>
        <w:rPr>
          <w:rFonts w:eastAsia="Times New Roman"/>
          <w:b/>
          <w:bCs/>
          <w:color w:val="000000"/>
          <w:szCs w:val="28"/>
          <w:lang w:eastAsia="uk-UA"/>
        </w:rPr>
      </w:pPr>
      <w:r w:rsidRPr="002D4965">
        <w:rPr>
          <w:rFonts w:eastAsia="Times New Roman"/>
          <w:b/>
          <w:bCs/>
          <w:color w:val="000000"/>
          <w:szCs w:val="28"/>
          <w:lang w:eastAsia="uk-UA"/>
        </w:rPr>
        <w:t>4</w:t>
      </w:r>
      <w:r w:rsidRPr="002D4965">
        <w:rPr>
          <w:rFonts w:eastAsia="Times New Roman"/>
          <w:b/>
          <w:bCs/>
          <w:color w:val="000000"/>
          <w:szCs w:val="28"/>
          <w:vertAlign w:val="superscript"/>
          <w:lang w:eastAsia="uk-UA"/>
        </w:rPr>
        <w:t>1</w:t>
      </w:r>
      <w:r w:rsidRPr="002D4965">
        <w:rPr>
          <w:rFonts w:eastAsia="Times New Roman"/>
          <w:b/>
          <w:bCs/>
          <w:color w:val="000000"/>
          <w:szCs w:val="28"/>
          <w:lang w:eastAsia="uk-UA"/>
        </w:rPr>
        <w:t xml:space="preserve">. Відповідність законодавству у сфері державної </w:t>
      </w:r>
      <w:r w:rsidR="00741854">
        <w:rPr>
          <w:rFonts w:eastAsia="Times New Roman"/>
          <w:b/>
          <w:bCs/>
          <w:color w:val="000000"/>
          <w:szCs w:val="28"/>
          <w:lang w:eastAsia="uk-UA"/>
        </w:rPr>
        <w:t>допомоги</w:t>
      </w:r>
    </w:p>
    <w:p w:rsidR="002D4965" w:rsidRPr="0016289F" w:rsidRDefault="002D4965" w:rsidP="002D4965">
      <w:pPr>
        <w:pStyle w:val="a3"/>
        <w:ind w:firstLine="709"/>
        <w:rPr>
          <w:rFonts w:eastAsia="Times New Roman"/>
          <w:bCs/>
          <w:color w:val="000000"/>
          <w:szCs w:val="28"/>
          <w:lang w:eastAsia="uk-UA"/>
        </w:rPr>
      </w:pPr>
      <w:r w:rsidRPr="0016289F">
        <w:rPr>
          <w:rFonts w:eastAsia="Times New Roman"/>
          <w:bCs/>
          <w:color w:val="000000"/>
          <w:szCs w:val="28"/>
          <w:lang w:eastAsia="uk-UA"/>
        </w:rPr>
        <w:t xml:space="preserve">У проекті акта відсутні положення щодо надання державної допомоги суб’єктам господарювання. </w:t>
      </w:r>
    </w:p>
    <w:p w:rsidR="00987C14" w:rsidRPr="00EA2C4A" w:rsidRDefault="00987C14" w:rsidP="00987C14">
      <w:pPr>
        <w:pStyle w:val="a3"/>
        <w:ind w:firstLine="709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lang w:eastAsia="uk-UA"/>
        </w:rPr>
        <w:t>5</w:t>
      </w:r>
      <w:r w:rsidRPr="00EA2C4A">
        <w:rPr>
          <w:rFonts w:eastAsia="Times New Roman"/>
          <w:b/>
          <w:bCs/>
          <w:color w:val="000000"/>
          <w:szCs w:val="28"/>
          <w:lang w:eastAsia="uk-UA"/>
        </w:rPr>
        <w:t>. Позиція заінтересованих сторін</w:t>
      </w:r>
    </w:p>
    <w:p w:rsidR="00592E7F" w:rsidRDefault="00592E7F" w:rsidP="00592E7F">
      <w:pPr>
        <w:ind w:firstLine="709"/>
        <w:jc w:val="both"/>
        <w:rPr>
          <w:szCs w:val="28"/>
        </w:rPr>
      </w:pPr>
      <w:r w:rsidRPr="00832D56">
        <w:rPr>
          <w:color w:val="000000"/>
          <w:szCs w:val="28"/>
          <w:shd w:val="clear" w:color="auto" w:fill="FFFFFF"/>
        </w:rPr>
        <w:t xml:space="preserve">Проект акта не стосується питань функціонування місцевого самоврядування, прав та інтересів територіальних громад, розвитку адміністративно-територіальних одиниць, </w:t>
      </w:r>
      <w:r w:rsidRPr="00832D56">
        <w:rPr>
          <w:bCs/>
          <w:szCs w:val="28"/>
        </w:rPr>
        <w:t xml:space="preserve">прав осіб з інвалідністю, </w:t>
      </w:r>
      <w:r w:rsidRPr="00832D56">
        <w:rPr>
          <w:szCs w:val="28"/>
        </w:rPr>
        <w:t xml:space="preserve">сфери наукової та науково-технічної діяльності </w:t>
      </w:r>
      <w:r w:rsidRPr="006B25B1">
        <w:rPr>
          <w:szCs w:val="28"/>
        </w:rPr>
        <w:t xml:space="preserve">і не </w:t>
      </w:r>
      <w:r w:rsidRPr="00832D56">
        <w:rPr>
          <w:szCs w:val="28"/>
        </w:rPr>
        <w:t>потребує проведення консультацій                                  з уповноваженими представниками всеукраїнських асоціацій органів місцевого</w:t>
      </w:r>
      <w:r>
        <w:rPr>
          <w:szCs w:val="28"/>
        </w:rPr>
        <w:t xml:space="preserve"> </w:t>
      </w:r>
      <w:r w:rsidRPr="00832D56">
        <w:rPr>
          <w:szCs w:val="28"/>
        </w:rPr>
        <w:t>самоврядування, всеукраїнськими громадськими організаціями осіб</w:t>
      </w:r>
      <w:r>
        <w:rPr>
          <w:szCs w:val="28"/>
        </w:rPr>
        <w:t xml:space="preserve">                                          з </w:t>
      </w:r>
      <w:r w:rsidRPr="00832D56">
        <w:rPr>
          <w:szCs w:val="28"/>
        </w:rPr>
        <w:t>інвалідністю, їхніми спілками, Науковим комітетом Національної ради України з питань розвитку науки і технологій.</w:t>
      </w:r>
    </w:p>
    <w:p w:rsidR="00B41F10" w:rsidRDefault="00B41F10" w:rsidP="00987C14">
      <w:pPr>
        <w:pStyle w:val="a3"/>
        <w:ind w:firstLine="709"/>
        <w:jc w:val="both"/>
        <w:rPr>
          <w:rFonts w:eastAsia="Times New Roman"/>
          <w:color w:val="000000"/>
          <w:szCs w:val="28"/>
          <w:shd w:val="clear" w:color="auto" w:fill="FFFFFF"/>
          <w:lang w:eastAsia="ru-RU"/>
        </w:rPr>
      </w:pPr>
      <w:r w:rsidRPr="00B41F10">
        <w:rPr>
          <w:rFonts w:eastAsia="Times New Roman"/>
          <w:color w:val="000000"/>
          <w:szCs w:val="28"/>
          <w:shd w:val="clear" w:color="auto" w:fill="FFFFFF"/>
          <w:lang w:eastAsia="ru-RU"/>
        </w:rPr>
        <w:t>До проекту акта Спільним представницьким органом репрезентативних всеукраїнських об’єднань профспілок на національному рівні висловле</w:t>
      </w:r>
      <w:r>
        <w:rPr>
          <w:rFonts w:eastAsia="Times New Roman"/>
          <w:color w:val="000000"/>
          <w:szCs w:val="28"/>
          <w:shd w:val="clear" w:color="auto" w:fill="FFFFFF"/>
          <w:lang w:eastAsia="ru-RU"/>
        </w:rPr>
        <w:t>но зауваження, які не враховано.</w:t>
      </w:r>
      <w:r w:rsidRPr="00B41F10">
        <w:rPr>
          <w:rFonts w:eastAsia="Times New Roman"/>
          <w:color w:val="000000"/>
          <w:szCs w:val="28"/>
          <w:shd w:val="clear" w:color="auto" w:fill="FFFFFF"/>
          <w:lang w:eastAsia="ru-RU"/>
        </w:rPr>
        <w:t xml:space="preserve"> </w:t>
      </w:r>
      <w:r>
        <w:rPr>
          <w:rFonts w:eastAsia="Times New Roman"/>
          <w:color w:val="000000"/>
          <w:szCs w:val="28"/>
          <w:shd w:val="clear" w:color="auto" w:fill="FFFFFF"/>
          <w:lang w:eastAsia="ru-RU"/>
        </w:rPr>
        <w:t>П</w:t>
      </w:r>
      <w:r w:rsidRPr="00B41F10">
        <w:rPr>
          <w:rFonts w:eastAsia="Times New Roman"/>
          <w:color w:val="000000"/>
          <w:szCs w:val="28"/>
          <w:shd w:val="clear" w:color="auto" w:fill="FFFFFF"/>
          <w:lang w:eastAsia="ru-RU"/>
        </w:rPr>
        <w:t>роект акта потребує погодження  із Спільним представницьким органом сторони роботодавців на національному рівні, (лист Мінсоцполітики від 02.12.2019 № 20686/0/2-19/51).</w:t>
      </w:r>
    </w:p>
    <w:p w:rsidR="00F63C28" w:rsidRDefault="00592E7F" w:rsidP="00987C14">
      <w:pPr>
        <w:pStyle w:val="a3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>
        <w:rPr>
          <w:rFonts w:eastAsia="Times New Roman"/>
          <w:color w:val="000000"/>
          <w:szCs w:val="28"/>
          <w:lang w:eastAsia="uk-UA"/>
        </w:rPr>
        <w:t>Проект акта розміщується на офіційному сайті Мінсоцполітики для громадського обговорення.</w:t>
      </w:r>
    </w:p>
    <w:p w:rsidR="00592E7F" w:rsidRPr="00F63C28" w:rsidRDefault="00592E7F" w:rsidP="00987C14">
      <w:pPr>
        <w:pStyle w:val="a3"/>
        <w:ind w:firstLine="709"/>
        <w:jc w:val="both"/>
        <w:rPr>
          <w:b/>
          <w:sz w:val="16"/>
          <w:szCs w:val="16"/>
        </w:rPr>
      </w:pPr>
    </w:p>
    <w:p w:rsidR="00A308E8" w:rsidRPr="005D5717" w:rsidRDefault="005D5717" w:rsidP="00987C14">
      <w:pPr>
        <w:pStyle w:val="a3"/>
        <w:ind w:firstLine="709"/>
        <w:jc w:val="both"/>
        <w:rPr>
          <w:b/>
          <w:szCs w:val="28"/>
        </w:rPr>
      </w:pPr>
      <w:r w:rsidRPr="005D5717">
        <w:rPr>
          <w:b/>
          <w:szCs w:val="28"/>
        </w:rPr>
        <w:t>6. Прогноз впливу</w:t>
      </w:r>
    </w:p>
    <w:p w:rsidR="004E782A" w:rsidRDefault="005D5717" w:rsidP="00592E7F">
      <w:pPr>
        <w:ind w:firstLine="709"/>
        <w:jc w:val="both"/>
        <w:rPr>
          <w:bCs/>
          <w:color w:val="000000"/>
          <w:szCs w:val="28"/>
          <w:lang w:eastAsia="uk-UA"/>
        </w:rPr>
      </w:pPr>
      <w:r>
        <w:rPr>
          <w:szCs w:val="28"/>
        </w:rPr>
        <w:t xml:space="preserve">Реалізація акта </w:t>
      </w:r>
      <w:r w:rsidR="00592E7F">
        <w:rPr>
          <w:szCs w:val="28"/>
        </w:rPr>
        <w:t>матиме вплив на забезпечення прав та інтересів суб’єктів господарювання, громадян і держави.</w:t>
      </w:r>
    </w:p>
    <w:p w:rsidR="00F65469" w:rsidRDefault="00F65469" w:rsidP="00F514A1">
      <w:pPr>
        <w:ind w:firstLine="709"/>
        <w:jc w:val="both"/>
        <w:rPr>
          <w:color w:val="000000"/>
          <w:sz w:val="10"/>
          <w:szCs w:val="10"/>
        </w:rPr>
      </w:pPr>
    </w:p>
    <w:p w:rsidR="000B537C" w:rsidRPr="00EA2C4A" w:rsidRDefault="00E30DD1" w:rsidP="00502BAB">
      <w:pPr>
        <w:ind w:firstLine="709"/>
        <w:jc w:val="both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 xml:space="preserve">7. </w:t>
      </w:r>
      <w:r w:rsidR="000B537C" w:rsidRPr="00EA2C4A">
        <w:rPr>
          <w:b/>
          <w:bCs/>
          <w:color w:val="000000"/>
          <w:szCs w:val="28"/>
          <w:lang w:eastAsia="uk-UA"/>
        </w:rPr>
        <w:t xml:space="preserve">Позиція заінтересованих </w:t>
      </w:r>
      <w:r w:rsidR="001A505D">
        <w:rPr>
          <w:b/>
          <w:bCs/>
          <w:color w:val="000000"/>
          <w:szCs w:val="28"/>
          <w:lang w:eastAsia="uk-UA"/>
        </w:rPr>
        <w:t>органів</w:t>
      </w:r>
    </w:p>
    <w:p w:rsidR="00B510A2" w:rsidRDefault="00B510A2" w:rsidP="00D21AD9">
      <w:pPr>
        <w:ind w:firstLine="709"/>
        <w:jc w:val="both"/>
        <w:rPr>
          <w:color w:val="000000"/>
          <w:szCs w:val="28"/>
          <w:lang w:eastAsia="uk-UA"/>
        </w:rPr>
      </w:pPr>
      <w:bookmarkStart w:id="7" w:name="n1727"/>
      <w:bookmarkStart w:id="8" w:name="n1734"/>
      <w:bookmarkStart w:id="9" w:name="n1738"/>
      <w:bookmarkStart w:id="10" w:name="n1741"/>
      <w:bookmarkEnd w:id="7"/>
      <w:bookmarkEnd w:id="8"/>
      <w:bookmarkEnd w:id="9"/>
      <w:bookmarkEnd w:id="10"/>
      <w:r w:rsidRPr="00B7380C">
        <w:rPr>
          <w:color w:val="000000"/>
          <w:szCs w:val="28"/>
          <w:lang w:eastAsia="uk-UA"/>
        </w:rPr>
        <w:t xml:space="preserve">Проект акта </w:t>
      </w:r>
      <w:r>
        <w:rPr>
          <w:color w:val="000000"/>
          <w:szCs w:val="28"/>
          <w:lang w:eastAsia="uk-UA"/>
        </w:rPr>
        <w:t xml:space="preserve">погоджено без зауважень </w:t>
      </w:r>
      <w:r w:rsidRPr="00B7380C">
        <w:rPr>
          <w:color w:val="000000"/>
          <w:szCs w:val="28"/>
          <w:lang w:eastAsia="uk-UA"/>
        </w:rPr>
        <w:t>Мінекономіки</w:t>
      </w:r>
      <w:r w:rsidR="006030AD">
        <w:rPr>
          <w:color w:val="000000"/>
          <w:szCs w:val="28"/>
          <w:lang w:eastAsia="uk-UA"/>
        </w:rPr>
        <w:t>,</w:t>
      </w:r>
      <w:r w:rsidR="006030AD" w:rsidRPr="006030AD">
        <w:rPr>
          <w:color w:val="000000"/>
          <w:szCs w:val="28"/>
          <w:lang w:eastAsia="uk-UA"/>
        </w:rPr>
        <w:t xml:space="preserve"> </w:t>
      </w:r>
      <w:r w:rsidR="006030AD">
        <w:rPr>
          <w:color w:val="000000"/>
          <w:szCs w:val="28"/>
          <w:lang w:eastAsia="uk-UA"/>
        </w:rPr>
        <w:t>Мінфіном</w:t>
      </w:r>
      <w:r>
        <w:rPr>
          <w:color w:val="000000"/>
          <w:szCs w:val="28"/>
          <w:lang w:eastAsia="uk-UA"/>
        </w:rPr>
        <w:t xml:space="preserve">, </w:t>
      </w:r>
      <w:proofErr w:type="spellStart"/>
      <w:r w:rsidR="006030AD">
        <w:rPr>
          <w:color w:val="000000"/>
          <w:szCs w:val="28"/>
          <w:lang w:eastAsia="uk-UA"/>
        </w:rPr>
        <w:t>Мінцифри</w:t>
      </w:r>
      <w:proofErr w:type="spellEnd"/>
      <w:r w:rsidR="00EE6B92">
        <w:rPr>
          <w:color w:val="000000"/>
          <w:szCs w:val="28"/>
          <w:lang w:eastAsia="uk-UA"/>
        </w:rPr>
        <w:t xml:space="preserve">, </w:t>
      </w:r>
      <w:r w:rsidRPr="00B7380C">
        <w:rPr>
          <w:color w:val="000000"/>
          <w:szCs w:val="28"/>
          <w:lang w:eastAsia="uk-UA"/>
        </w:rPr>
        <w:t>Мін’юстом</w:t>
      </w:r>
      <w:r>
        <w:rPr>
          <w:color w:val="000000"/>
          <w:szCs w:val="28"/>
          <w:lang w:eastAsia="uk-UA"/>
        </w:rPr>
        <w:t xml:space="preserve">. </w:t>
      </w:r>
    </w:p>
    <w:p w:rsidR="00FD74F1" w:rsidRPr="00105868" w:rsidRDefault="0041361C" w:rsidP="00FD74F1">
      <w:pPr>
        <w:ind w:firstLine="709"/>
        <w:jc w:val="both"/>
        <w:rPr>
          <w:sz w:val="16"/>
          <w:szCs w:val="16"/>
        </w:rPr>
      </w:pPr>
      <w:r w:rsidRPr="00105868">
        <w:rPr>
          <w:sz w:val="16"/>
          <w:szCs w:val="16"/>
        </w:rPr>
        <w:t xml:space="preserve"> </w:t>
      </w:r>
    </w:p>
    <w:p w:rsidR="0062284D" w:rsidRDefault="00E30DD1" w:rsidP="001A505D">
      <w:pPr>
        <w:pStyle w:val="a3"/>
        <w:ind w:firstLine="709"/>
        <w:jc w:val="both"/>
        <w:rPr>
          <w:rFonts w:eastAsia="Times New Roman"/>
          <w:b/>
          <w:color w:val="000000"/>
          <w:szCs w:val="28"/>
          <w:lang w:eastAsia="uk-UA"/>
        </w:rPr>
      </w:pPr>
      <w:r>
        <w:rPr>
          <w:rFonts w:eastAsia="Times New Roman"/>
          <w:b/>
          <w:color w:val="000000"/>
          <w:szCs w:val="28"/>
          <w:lang w:eastAsia="uk-UA"/>
        </w:rPr>
        <w:t>8</w:t>
      </w:r>
      <w:r w:rsidR="001A505D" w:rsidRPr="001A505D">
        <w:rPr>
          <w:rFonts w:eastAsia="Times New Roman"/>
          <w:b/>
          <w:color w:val="000000"/>
          <w:szCs w:val="28"/>
          <w:lang w:eastAsia="uk-UA"/>
        </w:rPr>
        <w:t>. Підстава розроблення проекту акта</w:t>
      </w:r>
    </w:p>
    <w:p w:rsidR="00502BAB" w:rsidRDefault="00917FA9" w:rsidP="00502BAB">
      <w:pPr>
        <w:pStyle w:val="a3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Проект акта розроблено за власною </w:t>
      </w:r>
      <w:r w:rsidR="003E0A63">
        <w:rPr>
          <w:szCs w:val="28"/>
        </w:rPr>
        <w:t>ініціативою</w:t>
      </w:r>
      <w:r>
        <w:rPr>
          <w:szCs w:val="28"/>
        </w:rPr>
        <w:t xml:space="preserve"> Міністерства соціальної політики</w:t>
      </w:r>
      <w:r w:rsidR="00502BAB">
        <w:rPr>
          <w:color w:val="000000"/>
          <w:szCs w:val="28"/>
        </w:rPr>
        <w:t>.</w:t>
      </w:r>
    </w:p>
    <w:p w:rsidR="00502BAB" w:rsidRDefault="00502BAB" w:rsidP="00502BAB">
      <w:pPr>
        <w:pStyle w:val="a3"/>
        <w:ind w:firstLine="709"/>
        <w:jc w:val="both"/>
        <w:rPr>
          <w:rFonts w:eastAsia="Times New Roman"/>
          <w:b/>
          <w:bCs/>
          <w:color w:val="000000"/>
          <w:sz w:val="16"/>
          <w:szCs w:val="16"/>
          <w:lang w:eastAsia="uk-UA"/>
        </w:rPr>
      </w:pPr>
    </w:p>
    <w:p w:rsidR="00F63C28" w:rsidRPr="00036DBC" w:rsidRDefault="00F63C28" w:rsidP="00502BAB">
      <w:pPr>
        <w:pStyle w:val="a3"/>
        <w:ind w:firstLine="709"/>
        <w:jc w:val="both"/>
        <w:rPr>
          <w:rFonts w:eastAsia="Times New Roman"/>
          <w:b/>
          <w:bCs/>
          <w:color w:val="000000"/>
          <w:sz w:val="16"/>
          <w:szCs w:val="16"/>
          <w:lang w:eastAsia="uk-UA"/>
        </w:rPr>
      </w:pPr>
    </w:p>
    <w:p w:rsidR="0062284D" w:rsidRDefault="0062284D" w:rsidP="00EA2C4A">
      <w:pPr>
        <w:pStyle w:val="a3"/>
        <w:rPr>
          <w:rFonts w:eastAsia="Times New Roman"/>
          <w:color w:val="000000"/>
          <w:sz w:val="8"/>
          <w:szCs w:val="8"/>
          <w:lang w:eastAsia="uk-UA"/>
        </w:rPr>
      </w:pPr>
    </w:p>
    <w:p w:rsidR="0062284D" w:rsidRDefault="0062284D" w:rsidP="00EA2C4A">
      <w:pPr>
        <w:pStyle w:val="a3"/>
        <w:rPr>
          <w:rFonts w:eastAsia="Times New Roman"/>
          <w:color w:val="000000"/>
          <w:sz w:val="8"/>
          <w:szCs w:val="8"/>
          <w:lang w:eastAsia="uk-UA"/>
        </w:rPr>
      </w:pPr>
    </w:p>
    <w:p w:rsidR="003E0A63" w:rsidRDefault="003E0A63" w:rsidP="00EA2C4A">
      <w:pPr>
        <w:pStyle w:val="a3"/>
        <w:rPr>
          <w:rFonts w:eastAsia="Times New Roman"/>
          <w:color w:val="000000"/>
          <w:sz w:val="8"/>
          <w:szCs w:val="8"/>
          <w:lang w:eastAsia="uk-UA"/>
        </w:rPr>
      </w:pPr>
    </w:p>
    <w:p w:rsidR="00F63C28" w:rsidRDefault="002978A6" w:rsidP="00E87A41">
      <w:pPr>
        <w:jc w:val="both"/>
        <w:rPr>
          <w:b/>
          <w:szCs w:val="28"/>
        </w:rPr>
      </w:pPr>
      <w:r>
        <w:rPr>
          <w:b/>
          <w:szCs w:val="28"/>
        </w:rPr>
        <w:t>Мініст</w:t>
      </w:r>
      <w:r w:rsidR="0041361C">
        <w:rPr>
          <w:b/>
          <w:szCs w:val="28"/>
        </w:rPr>
        <w:t>р</w:t>
      </w:r>
      <w:r w:rsidR="00741854">
        <w:rPr>
          <w:b/>
          <w:szCs w:val="28"/>
        </w:rPr>
        <w:t xml:space="preserve"> </w:t>
      </w:r>
      <w:r>
        <w:rPr>
          <w:b/>
          <w:szCs w:val="28"/>
        </w:rPr>
        <w:t xml:space="preserve">соціальної </w:t>
      </w:r>
    </w:p>
    <w:p w:rsidR="002978A6" w:rsidRPr="00E87A41" w:rsidRDefault="002978A6" w:rsidP="00E87A41">
      <w:pPr>
        <w:jc w:val="both"/>
        <w:rPr>
          <w:b/>
          <w:szCs w:val="28"/>
        </w:rPr>
      </w:pPr>
      <w:r>
        <w:rPr>
          <w:b/>
          <w:szCs w:val="28"/>
        </w:rPr>
        <w:t>політики України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105868">
        <w:rPr>
          <w:b/>
          <w:szCs w:val="28"/>
        </w:rPr>
        <w:t xml:space="preserve">     </w:t>
      </w:r>
      <w:r w:rsidR="00F63C28">
        <w:rPr>
          <w:b/>
          <w:szCs w:val="28"/>
        </w:rPr>
        <w:t xml:space="preserve">             </w:t>
      </w:r>
      <w:r w:rsidR="00741854">
        <w:rPr>
          <w:b/>
          <w:szCs w:val="28"/>
        </w:rPr>
        <w:t xml:space="preserve"> </w:t>
      </w:r>
      <w:r w:rsidR="00F63C28">
        <w:rPr>
          <w:b/>
          <w:szCs w:val="28"/>
        </w:rPr>
        <w:t xml:space="preserve">            </w:t>
      </w:r>
      <w:r w:rsidR="00741854">
        <w:rPr>
          <w:b/>
          <w:szCs w:val="28"/>
        </w:rPr>
        <w:t>Юлія Соколовська</w:t>
      </w:r>
    </w:p>
    <w:p w:rsidR="00AB1E67" w:rsidRPr="00C673C2" w:rsidRDefault="00AB1E67" w:rsidP="00EA2C4A">
      <w:pPr>
        <w:pStyle w:val="a3"/>
        <w:jc w:val="both"/>
        <w:rPr>
          <w:b/>
          <w:szCs w:val="28"/>
        </w:rPr>
      </w:pPr>
    </w:p>
    <w:p w:rsidR="00EA2C4A" w:rsidRPr="00142198" w:rsidRDefault="00832D56" w:rsidP="00C70C71">
      <w:pPr>
        <w:tabs>
          <w:tab w:val="left" w:pos="2981"/>
        </w:tabs>
        <w:jc w:val="both"/>
        <w:rPr>
          <w:color w:val="000000"/>
          <w:szCs w:val="28"/>
          <w:lang w:eastAsia="uk-UA"/>
        </w:rPr>
      </w:pPr>
      <w:r w:rsidRPr="00142198">
        <w:rPr>
          <w:szCs w:val="28"/>
        </w:rPr>
        <w:t>____  ___________ 201</w:t>
      </w:r>
      <w:r w:rsidR="00C70C71" w:rsidRPr="00142198">
        <w:rPr>
          <w:szCs w:val="28"/>
        </w:rPr>
        <w:t>9</w:t>
      </w:r>
      <w:r w:rsidRPr="00142198">
        <w:rPr>
          <w:szCs w:val="28"/>
        </w:rPr>
        <w:t xml:space="preserve"> р.</w:t>
      </w:r>
    </w:p>
    <w:sectPr w:rsidR="00EA2C4A" w:rsidRPr="00142198" w:rsidSect="00502BAB">
      <w:headerReference w:type="default" r:id="rId8"/>
      <w:pgSz w:w="11906" w:h="16838"/>
      <w:pgMar w:top="567" w:right="567" w:bottom="709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C57" w:rsidRDefault="00440C57" w:rsidP="00073BBB">
      <w:r>
        <w:separator/>
      </w:r>
    </w:p>
  </w:endnote>
  <w:endnote w:type="continuationSeparator" w:id="0">
    <w:p w:rsidR="00440C57" w:rsidRDefault="00440C57" w:rsidP="0007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C57" w:rsidRDefault="00440C57" w:rsidP="00073BBB">
      <w:r>
        <w:separator/>
      </w:r>
    </w:p>
  </w:footnote>
  <w:footnote w:type="continuationSeparator" w:id="0">
    <w:p w:rsidR="00440C57" w:rsidRDefault="00440C57" w:rsidP="0007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834033648"/>
      <w:docPartObj>
        <w:docPartGallery w:val="Page Numbers (Top of Page)"/>
        <w:docPartUnique/>
      </w:docPartObj>
    </w:sdtPr>
    <w:sdtEndPr/>
    <w:sdtContent>
      <w:p w:rsidR="00073BBB" w:rsidRPr="005041E9" w:rsidRDefault="00D8306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041E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041E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041E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56A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041E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073BBB" w:rsidRDefault="00073B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45FD1"/>
    <w:multiLevelType w:val="hybridMultilevel"/>
    <w:tmpl w:val="63121664"/>
    <w:lvl w:ilvl="0" w:tplc="3A28894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84DC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C40F4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ECA8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F435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D215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B4EE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46BFA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7248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67E76"/>
    <w:multiLevelType w:val="hybridMultilevel"/>
    <w:tmpl w:val="CBBECE22"/>
    <w:lvl w:ilvl="0" w:tplc="13E0D520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4" w:hanging="360"/>
      </w:pPr>
    </w:lvl>
    <w:lvl w:ilvl="2" w:tplc="0422001B" w:tentative="1">
      <w:start w:val="1"/>
      <w:numFmt w:val="lowerRoman"/>
      <w:lvlText w:val="%3."/>
      <w:lvlJc w:val="right"/>
      <w:pPr>
        <w:ind w:left="2504" w:hanging="180"/>
      </w:pPr>
    </w:lvl>
    <w:lvl w:ilvl="3" w:tplc="0422000F" w:tentative="1">
      <w:start w:val="1"/>
      <w:numFmt w:val="decimal"/>
      <w:lvlText w:val="%4."/>
      <w:lvlJc w:val="left"/>
      <w:pPr>
        <w:ind w:left="3224" w:hanging="360"/>
      </w:pPr>
    </w:lvl>
    <w:lvl w:ilvl="4" w:tplc="04220019" w:tentative="1">
      <w:start w:val="1"/>
      <w:numFmt w:val="lowerLetter"/>
      <w:lvlText w:val="%5."/>
      <w:lvlJc w:val="left"/>
      <w:pPr>
        <w:ind w:left="3944" w:hanging="360"/>
      </w:pPr>
    </w:lvl>
    <w:lvl w:ilvl="5" w:tplc="0422001B" w:tentative="1">
      <w:start w:val="1"/>
      <w:numFmt w:val="lowerRoman"/>
      <w:lvlText w:val="%6."/>
      <w:lvlJc w:val="right"/>
      <w:pPr>
        <w:ind w:left="4664" w:hanging="180"/>
      </w:pPr>
    </w:lvl>
    <w:lvl w:ilvl="6" w:tplc="0422000F" w:tentative="1">
      <w:start w:val="1"/>
      <w:numFmt w:val="decimal"/>
      <w:lvlText w:val="%7."/>
      <w:lvlJc w:val="left"/>
      <w:pPr>
        <w:ind w:left="5384" w:hanging="360"/>
      </w:pPr>
    </w:lvl>
    <w:lvl w:ilvl="7" w:tplc="04220019" w:tentative="1">
      <w:start w:val="1"/>
      <w:numFmt w:val="lowerLetter"/>
      <w:lvlText w:val="%8."/>
      <w:lvlJc w:val="left"/>
      <w:pPr>
        <w:ind w:left="6104" w:hanging="360"/>
      </w:pPr>
    </w:lvl>
    <w:lvl w:ilvl="8" w:tplc="0422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" w15:restartNumberingAfterBreak="0">
    <w:nsid w:val="65CC059C"/>
    <w:multiLevelType w:val="hybridMultilevel"/>
    <w:tmpl w:val="6C100F5A"/>
    <w:lvl w:ilvl="0" w:tplc="DE90D98C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73"/>
    <w:rsid w:val="00001897"/>
    <w:rsid w:val="00005A8B"/>
    <w:rsid w:val="00005BC2"/>
    <w:rsid w:val="00012B4F"/>
    <w:rsid w:val="00012F6B"/>
    <w:rsid w:val="000175CF"/>
    <w:rsid w:val="00036DBC"/>
    <w:rsid w:val="000448B2"/>
    <w:rsid w:val="000672DC"/>
    <w:rsid w:val="00073BBB"/>
    <w:rsid w:val="000923A6"/>
    <w:rsid w:val="000965C7"/>
    <w:rsid w:val="000A57F2"/>
    <w:rsid w:val="000B537C"/>
    <w:rsid w:val="000E15E7"/>
    <w:rsid w:val="000E2B35"/>
    <w:rsid w:val="000F221E"/>
    <w:rsid w:val="00105868"/>
    <w:rsid w:val="00106D5D"/>
    <w:rsid w:val="0012265B"/>
    <w:rsid w:val="00124384"/>
    <w:rsid w:val="00126FEF"/>
    <w:rsid w:val="00132249"/>
    <w:rsid w:val="0013259E"/>
    <w:rsid w:val="00142198"/>
    <w:rsid w:val="0015245A"/>
    <w:rsid w:val="00161143"/>
    <w:rsid w:val="0016289F"/>
    <w:rsid w:val="00177721"/>
    <w:rsid w:val="00182EFE"/>
    <w:rsid w:val="00185A8D"/>
    <w:rsid w:val="00187BD6"/>
    <w:rsid w:val="001A45F0"/>
    <w:rsid w:val="001A505D"/>
    <w:rsid w:val="001C48C8"/>
    <w:rsid w:val="001C6DE3"/>
    <w:rsid w:val="001E6B45"/>
    <w:rsid w:val="00203915"/>
    <w:rsid w:val="00205305"/>
    <w:rsid w:val="002065C1"/>
    <w:rsid w:val="0021198E"/>
    <w:rsid w:val="00227697"/>
    <w:rsid w:val="00227885"/>
    <w:rsid w:val="00240DCB"/>
    <w:rsid w:val="00242346"/>
    <w:rsid w:val="0025414E"/>
    <w:rsid w:val="00264AEF"/>
    <w:rsid w:val="002658AB"/>
    <w:rsid w:val="0026643C"/>
    <w:rsid w:val="00266EF2"/>
    <w:rsid w:val="002978A6"/>
    <w:rsid w:val="002A2082"/>
    <w:rsid w:val="002C1A38"/>
    <w:rsid w:val="002D4965"/>
    <w:rsid w:val="002E15FD"/>
    <w:rsid w:val="002E7FBD"/>
    <w:rsid w:val="002F31B8"/>
    <w:rsid w:val="002F4D8C"/>
    <w:rsid w:val="0032360B"/>
    <w:rsid w:val="00371B00"/>
    <w:rsid w:val="003C34E7"/>
    <w:rsid w:val="003D0328"/>
    <w:rsid w:val="003D1C6F"/>
    <w:rsid w:val="003E0A63"/>
    <w:rsid w:val="003E126B"/>
    <w:rsid w:val="003E79D1"/>
    <w:rsid w:val="003F46DD"/>
    <w:rsid w:val="0041361C"/>
    <w:rsid w:val="004143E8"/>
    <w:rsid w:val="00425A95"/>
    <w:rsid w:val="004261DB"/>
    <w:rsid w:val="004356A6"/>
    <w:rsid w:val="00440C57"/>
    <w:rsid w:val="00445E72"/>
    <w:rsid w:val="00452FAF"/>
    <w:rsid w:val="00472D0B"/>
    <w:rsid w:val="00474A67"/>
    <w:rsid w:val="0047752E"/>
    <w:rsid w:val="004818E6"/>
    <w:rsid w:val="004831B5"/>
    <w:rsid w:val="004A2931"/>
    <w:rsid w:val="004B013A"/>
    <w:rsid w:val="004B61FE"/>
    <w:rsid w:val="004C5312"/>
    <w:rsid w:val="004E782A"/>
    <w:rsid w:val="004F5F2E"/>
    <w:rsid w:val="004F73E1"/>
    <w:rsid w:val="005015B1"/>
    <w:rsid w:val="00502BAB"/>
    <w:rsid w:val="005041E9"/>
    <w:rsid w:val="00514145"/>
    <w:rsid w:val="005159C9"/>
    <w:rsid w:val="0052421F"/>
    <w:rsid w:val="005627E8"/>
    <w:rsid w:val="00566563"/>
    <w:rsid w:val="005724C1"/>
    <w:rsid w:val="00574BA2"/>
    <w:rsid w:val="00584250"/>
    <w:rsid w:val="00592E7F"/>
    <w:rsid w:val="005A1209"/>
    <w:rsid w:val="005C723C"/>
    <w:rsid w:val="005C723D"/>
    <w:rsid w:val="005D5717"/>
    <w:rsid w:val="005D6937"/>
    <w:rsid w:val="005E798F"/>
    <w:rsid w:val="006030AD"/>
    <w:rsid w:val="0062284D"/>
    <w:rsid w:val="00641B9D"/>
    <w:rsid w:val="006452BA"/>
    <w:rsid w:val="006466D3"/>
    <w:rsid w:val="00656790"/>
    <w:rsid w:val="0069150B"/>
    <w:rsid w:val="006A3CB3"/>
    <w:rsid w:val="006B25B1"/>
    <w:rsid w:val="006D32E5"/>
    <w:rsid w:val="006D4D3D"/>
    <w:rsid w:val="006F28B1"/>
    <w:rsid w:val="00700C1E"/>
    <w:rsid w:val="00704985"/>
    <w:rsid w:val="0073124C"/>
    <w:rsid w:val="00736281"/>
    <w:rsid w:val="00741854"/>
    <w:rsid w:val="007423A9"/>
    <w:rsid w:val="007442FC"/>
    <w:rsid w:val="00784FDD"/>
    <w:rsid w:val="007975D5"/>
    <w:rsid w:val="007B3E0E"/>
    <w:rsid w:val="007C1454"/>
    <w:rsid w:val="007D1FEB"/>
    <w:rsid w:val="007F3047"/>
    <w:rsid w:val="00800B56"/>
    <w:rsid w:val="00811954"/>
    <w:rsid w:val="008259D6"/>
    <w:rsid w:val="0082726E"/>
    <w:rsid w:val="00832D56"/>
    <w:rsid w:val="008341EB"/>
    <w:rsid w:val="00834FAA"/>
    <w:rsid w:val="00841BBB"/>
    <w:rsid w:val="008504E1"/>
    <w:rsid w:val="00853610"/>
    <w:rsid w:val="00857EDD"/>
    <w:rsid w:val="008710EF"/>
    <w:rsid w:val="0087412F"/>
    <w:rsid w:val="0088120B"/>
    <w:rsid w:val="008824E6"/>
    <w:rsid w:val="0088254C"/>
    <w:rsid w:val="00895052"/>
    <w:rsid w:val="008A4DA0"/>
    <w:rsid w:val="008D4E7C"/>
    <w:rsid w:val="008D64DD"/>
    <w:rsid w:val="008E3478"/>
    <w:rsid w:val="008F4433"/>
    <w:rsid w:val="008F558A"/>
    <w:rsid w:val="009057A0"/>
    <w:rsid w:val="00917FA9"/>
    <w:rsid w:val="009346EF"/>
    <w:rsid w:val="009434FC"/>
    <w:rsid w:val="0095729C"/>
    <w:rsid w:val="00987C14"/>
    <w:rsid w:val="009A4104"/>
    <w:rsid w:val="009B261C"/>
    <w:rsid w:val="009D4A2A"/>
    <w:rsid w:val="009F4FE2"/>
    <w:rsid w:val="00A20C85"/>
    <w:rsid w:val="00A21F48"/>
    <w:rsid w:val="00A2498B"/>
    <w:rsid w:val="00A308E8"/>
    <w:rsid w:val="00A31856"/>
    <w:rsid w:val="00A31C06"/>
    <w:rsid w:val="00A33F97"/>
    <w:rsid w:val="00A4182D"/>
    <w:rsid w:val="00A43951"/>
    <w:rsid w:val="00A54AC9"/>
    <w:rsid w:val="00A56547"/>
    <w:rsid w:val="00A727FF"/>
    <w:rsid w:val="00AA031A"/>
    <w:rsid w:val="00AA2025"/>
    <w:rsid w:val="00AB0153"/>
    <w:rsid w:val="00AB1E67"/>
    <w:rsid w:val="00AB2327"/>
    <w:rsid w:val="00AC0F67"/>
    <w:rsid w:val="00AC706D"/>
    <w:rsid w:val="00AD31BB"/>
    <w:rsid w:val="00AE1FF8"/>
    <w:rsid w:val="00AE3C9F"/>
    <w:rsid w:val="00AF70AB"/>
    <w:rsid w:val="00AF76A4"/>
    <w:rsid w:val="00B11CF4"/>
    <w:rsid w:val="00B11DC9"/>
    <w:rsid w:val="00B24C8A"/>
    <w:rsid w:val="00B3107D"/>
    <w:rsid w:val="00B320D9"/>
    <w:rsid w:val="00B41F10"/>
    <w:rsid w:val="00B50A2D"/>
    <w:rsid w:val="00B510A2"/>
    <w:rsid w:val="00B52AF6"/>
    <w:rsid w:val="00B551ED"/>
    <w:rsid w:val="00B64125"/>
    <w:rsid w:val="00B67DB9"/>
    <w:rsid w:val="00B85BC7"/>
    <w:rsid w:val="00B87F10"/>
    <w:rsid w:val="00B95B41"/>
    <w:rsid w:val="00BC25F9"/>
    <w:rsid w:val="00BE18B0"/>
    <w:rsid w:val="00BE3DC9"/>
    <w:rsid w:val="00C1165F"/>
    <w:rsid w:val="00C12271"/>
    <w:rsid w:val="00C149FF"/>
    <w:rsid w:val="00C23DED"/>
    <w:rsid w:val="00C351B2"/>
    <w:rsid w:val="00C402D6"/>
    <w:rsid w:val="00C4777F"/>
    <w:rsid w:val="00C673C2"/>
    <w:rsid w:val="00C70C71"/>
    <w:rsid w:val="00C74322"/>
    <w:rsid w:val="00C82062"/>
    <w:rsid w:val="00CA1D86"/>
    <w:rsid w:val="00CA3982"/>
    <w:rsid w:val="00CB2162"/>
    <w:rsid w:val="00CD100F"/>
    <w:rsid w:val="00D053EA"/>
    <w:rsid w:val="00D07179"/>
    <w:rsid w:val="00D115CA"/>
    <w:rsid w:val="00D21AD9"/>
    <w:rsid w:val="00D25ADD"/>
    <w:rsid w:val="00D311C5"/>
    <w:rsid w:val="00D31B19"/>
    <w:rsid w:val="00D3557B"/>
    <w:rsid w:val="00D61E07"/>
    <w:rsid w:val="00D803C5"/>
    <w:rsid w:val="00D8110B"/>
    <w:rsid w:val="00D83061"/>
    <w:rsid w:val="00D84129"/>
    <w:rsid w:val="00D93400"/>
    <w:rsid w:val="00DA2CDC"/>
    <w:rsid w:val="00DB284D"/>
    <w:rsid w:val="00DD47F2"/>
    <w:rsid w:val="00DE470A"/>
    <w:rsid w:val="00DE5B1F"/>
    <w:rsid w:val="00DE7648"/>
    <w:rsid w:val="00E01760"/>
    <w:rsid w:val="00E03B44"/>
    <w:rsid w:val="00E1133A"/>
    <w:rsid w:val="00E30DD1"/>
    <w:rsid w:val="00E32936"/>
    <w:rsid w:val="00E44E1A"/>
    <w:rsid w:val="00E6643E"/>
    <w:rsid w:val="00E7338A"/>
    <w:rsid w:val="00E76D17"/>
    <w:rsid w:val="00E77202"/>
    <w:rsid w:val="00E85393"/>
    <w:rsid w:val="00E87A41"/>
    <w:rsid w:val="00EA2C4A"/>
    <w:rsid w:val="00EC2ABE"/>
    <w:rsid w:val="00EE3F42"/>
    <w:rsid w:val="00EE6B92"/>
    <w:rsid w:val="00F24A9C"/>
    <w:rsid w:val="00F35531"/>
    <w:rsid w:val="00F36654"/>
    <w:rsid w:val="00F50DE2"/>
    <w:rsid w:val="00F514A1"/>
    <w:rsid w:val="00F629F1"/>
    <w:rsid w:val="00F63C28"/>
    <w:rsid w:val="00F65469"/>
    <w:rsid w:val="00F65B14"/>
    <w:rsid w:val="00F7712D"/>
    <w:rsid w:val="00FA2609"/>
    <w:rsid w:val="00FA713F"/>
    <w:rsid w:val="00FB4075"/>
    <w:rsid w:val="00FB6832"/>
    <w:rsid w:val="00FC4E73"/>
    <w:rsid w:val="00FD6148"/>
    <w:rsid w:val="00FD657C"/>
    <w:rsid w:val="00FD74F1"/>
    <w:rsid w:val="00FE3D98"/>
    <w:rsid w:val="00FE4C56"/>
    <w:rsid w:val="00FF0234"/>
    <w:rsid w:val="00FF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C181C5D-59D3-4FA9-B4BC-B0FEE254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8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0B53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0B537C"/>
  </w:style>
  <w:style w:type="character" w:customStyle="1" w:styleId="rvts82">
    <w:name w:val="rvts82"/>
    <w:basedOn w:val="a0"/>
    <w:rsid w:val="000B537C"/>
  </w:style>
  <w:style w:type="paragraph" w:customStyle="1" w:styleId="rvps12">
    <w:name w:val="rvps12"/>
    <w:basedOn w:val="a"/>
    <w:rsid w:val="000B537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0B53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B537C"/>
  </w:style>
  <w:style w:type="character" w:customStyle="1" w:styleId="rvts37">
    <w:name w:val="rvts37"/>
    <w:basedOn w:val="a0"/>
    <w:rsid w:val="000B537C"/>
  </w:style>
  <w:style w:type="paragraph" w:customStyle="1" w:styleId="rvps8">
    <w:name w:val="rvps8"/>
    <w:basedOn w:val="a"/>
    <w:rsid w:val="000B537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No Spacing"/>
    <w:uiPriority w:val="1"/>
    <w:qFormat/>
    <w:rsid w:val="000B537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4">
    <w:name w:val="Hyperlink"/>
    <w:basedOn w:val="a0"/>
    <w:uiPriority w:val="99"/>
    <w:semiHidden/>
    <w:unhideWhenUsed/>
    <w:rsid w:val="000B537C"/>
    <w:rPr>
      <w:color w:val="0000FF"/>
      <w:u w:val="single"/>
    </w:rPr>
  </w:style>
  <w:style w:type="character" w:customStyle="1" w:styleId="rvts23">
    <w:name w:val="rvts23"/>
    <w:basedOn w:val="a0"/>
    <w:rsid w:val="00E76D17"/>
  </w:style>
  <w:style w:type="paragraph" w:styleId="a5">
    <w:name w:val="List Paragraph"/>
    <w:basedOn w:val="a"/>
    <w:uiPriority w:val="99"/>
    <w:qFormat/>
    <w:rsid w:val="00E76D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73BBB"/>
  </w:style>
  <w:style w:type="paragraph" w:styleId="a6">
    <w:name w:val="header"/>
    <w:basedOn w:val="a"/>
    <w:link w:val="a7"/>
    <w:uiPriority w:val="99"/>
    <w:unhideWhenUsed/>
    <w:rsid w:val="00073BB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073BBB"/>
  </w:style>
  <w:style w:type="paragraph" w:styleId="a8">
    <w:name w:val="footer"/>
    <w:basedOn w:val="a"/>
    <w:link w:val="a9"/>
    <w:uiPriority w:val="99"/>
    <w:unhideWhenUsed/>
    <w:rsid w:val="00073BB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073BBB"/>
  </w:style>
  <w:style w:type="paragraph" w:styleId="aa">
    <w:name w:val="Balloon Text"/>
    <w:basedOn w:val="a"/>
    <w:link w:val="ab"/>
    <w:uiPriority w:val="99"/>
    <w:semiHidden/>
    <w:unhideWhenUsed/>
    <w:rsid w:val="00472D0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2D0B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nhideWhenUsed/>
    <w:rsid w:val="004C5312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rsid w:val="004C5312"/>
    <w:rPr>
      <w:rFonts w:ascii="Consolas" w:eastAsia="Times New Roman" w:hAnsi="Consolas" w:cs="Times New Roman"/>
      <w:sz w:val="20"/>
      <w:szCs w:val="20"/>
      <w:lang w:eastAsia="ru-RU"/>
    </w:rPr>
  </w:style>
  <w:style w:type="character" w:styleId="ac">
    <w:name w:val="Emphasis"/>
    <w:qFormat/>
    <w:rsid w:val="00AB1E67"/>
    <w:rPr>
      <w:i/>
      <w:iCs/>
    </w:rPr>
  </w:style>
  <w:style w:type="character" w:customStyle="1" w:styleId="rvts44">
    <w:name w:val="rvts44"/>
    <w:basedOn w:val="a0"/>
    <w:rsid w:val="00474A67"/>
  </w:style>
  <w:style w:type="paragraph" w:styleId="ad">
    <w:name w:val="Normal (Web)"/>
    <w:basedOn w:val="a"/>
    <w:uiPriority w:val="99"/>
    <w:rsid w:val="000923A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524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61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1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64240-3136-4F5C-83B0-CF52A441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Кириченко Олена</cp:lastModifiedBy>
  <cp:revision>9</cp:revision>
  <cp:lastPrinted>2019-12-10T10:52:00Z</cp:lastPrinted>
  <dcterms:created xsi:type="dcterms:W3CDTF">2019-12-09T08:27:00Z</dcterms:created>
  <dcterms:modified xsi:type="dcterms:W3CDTF">2019-12-16T14:50:00Z</dcterms:modified>
</cp:coreProperties>
</file>