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205" w:rsidRPr="00A40EEA" w:rsidRDefault="00613205" w:rsidP="00613205">
      <w:pPr>
        <w:spacing w:after="0" w:line="240" w:lineRule="auto"/>
        <w:jc w:val="center"/>
        <w:rPr>
          <w:rFonts w:ascii="Times New Roman" w:hAnsi="Times New Roman"/>
          <w:b/>
          <w:sz w:val="28"/>
          <w:szCs w:val="28"/>
        </w:rPr>
      </w:pPr>
      <w:r w:rsidRPr="00A40EEA">
        <w:rPr>
          <w:rFonts w:ascii="Times New Roman" w:hAnsi="Times New Roman"/>
          <w:b/>
          <w:sz w:val="28"/>
          <w:szCs w:val="28"/>
          <w:lang w:val="ru-RU"/>
        </w:rPr>
        <w:t xml:space="preserve">                  </w:t>
      </w:r>
      <w:r w:rsidRPr="00A40EEA">
        <w:rPr>
          <w:rFonts w:ascii="Times New Roman" w:hAnsi="Times New Roman"/>
          <w:b/>
          <w:sz w:val="28"/>
          <w:szCs w:val="28"/>
        </w:rPr>
        <w:t xml:space="preserve">ПОРІВНЯЛЬНА ТАБЛИЦЯ </w:t>
      </w:r>
    </w:p>
    <w:p w:rsidR="00613205" w:rsidRDefault="00270AD4" w:rsidP="00A40EEA">
      <w:pPr>
        <w:spacing w:after="0" w:line="240" w:lineRule="auto"/>
        <w:jc w:val="center"/>
        <w:rPr>
          <w:rFonts w:ascii="Times New Roman" w:hAnsi="Times New Roman"/>
          <w:b/>
          <w:sz w:val="28"/>
          <w:szCs w:val="28"/>
        </w:rPr>
      </w:pPr>
      <w:r w:rsidRPr="00A40EEA">
        <w:rPr>
          <w:rFonts w:ascii="Times New Roman" w:hAnsi="Times New Roman"/>
          <w:b/>
          <w:sz w:val="28"/>
          <w:szCs w:val="28"/>
        </w:rPr>
        <w:t xml:space="preserve">до </w:t>
      </w:r>
      <w:r w:rsidR="00A40EEA" w:rsidRPr="00A40EEA">
        <w:rPr>
          <w:rFonts w:ascii="Times New Roman" w:hAnsi="Times New Roman"/>
          <w:b/>
          <w:sz w:val="28"/>
          <w:szCs w:val="28"/>
        </w:rPr>
        <w:t>проекту Закону України «Про перелік об'єктів права державної власності, що не підлягають приватизації»</w:t>
      </w:r>
    </w:p>
    <w:p w:rsidR="00A40EEA" w:rsidRPr="00A40EEA" w:rsidRDefault="00A40EEA" w:rsidP="00A40EEA">
      <w:pPr>
        <w:spacing w:after="0" w:line="240" w:lineRule="auto"/>
        <w:jc w:val="center"/>
        <w:rPr>
          <w:rFonts w:ascii="Times New Roman" w:hAnsi="Times New Roman"/>
          <w:b/>
          <w:sz w:val="20"/>
          <w:szCs w:val="20"/>
        </w:rPr>
      </w:pPr>
    </w:p>
    <w:tbl>
      <w:tblPr>
        <w:tblW w:w="14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4989"/>
        <w:gridCol w:w="9194"/>
      </w:tblGrid>
      <w:tr w:rsidR="00613205" w:rsidRPr="00A40EEA" w:rsidTr="00424DD2">
        <w:trPr>
          <w:trHeight w:val="930"/>
        </w:trPr>
        <w:tc>
          <w:tcPr>
            <w:tcW w:w="568" w:type="dxa"/>
          </w:tcPr>
          <w:p w:rsidR="00613205" w:rsidRPr="00A40EEA" w:rsidRDefault="00613205" w:rsidP="006A6963">
            <w:pPr>
              <w:jc w:val="both"/>
              <w:rPr>
                <w:rFonts w:ascii="Times New Roman" w:hAnsi="Times New Roman"/>
                <w:b/>
                <w:noProof/>
                <w:sz w:val="28"/>
                <w:szCs w:val="28"/>
              </w:rPr>
            </w:pPr>
            <w:r w:rsidRPr="00A40EEA">
              <w:rPr>
                <w:rFonts w:ascii="Times New Roman" w:hAnsi="Times New Roman"/>
                <w:b/>
                <w:noProof/>
                <w:sz w:val="28"/>
                <w:szCs w:val="28"/>
              </w:rPr>
              <w:t>№ з/п</w:t>
            </w:r>
          </w:p>
        </w:tc>
        <w:tc>
          <w:tcPr>
            <w:tcW w:w="4989" w:type="dxa"/>
          </w:tcPr>
          <w:p w:rsidR="00613205" w:rsidRPr="00A40EEA" w:rsidRDefault="00613205" w:rsidP="006A6963">
            <w:pPr>
              <w:pStyle w:val="a3"/>
              <w:jc w:val="center"/>
              <w:rPr>
                <w:rFonts w:ascii="Times New Roman" w:hAnsi="Times New Roman"/>
                <w:b/>
                <w:noProof/>
                <w:sz w:val="28"/>
                <w:szCs w:val="28"/>
              </w:rPr>
            </w:pPr>
            <w:r w:rsidRPr="00A40EEA">
              <w:rPr>
                <w:rFonts w:ascii="Times New Roman" w:hAnsi="Times New Roman"/>
                <w:b/>
                <w:noProof/>
                <w:sz w:val="28"/>
                <w:szCs w:val="28"/>
              </w:rPr>
              <w:t>Зміст положення (норми)</w:t>
            </w:r>
          </w:p>
          <w:p w:rsidR="00613205" w:rsidRPr="00A40EEA" w:rsidRDefault="00613205" w:rsidP="006A6963">
            <w:pPr>
              <w:pStyle w:val="a3"/>
              <w:jc w:val="center"/>
              <w:rPr>
                <w:rFonts w:ascii="Times New Roman" w:hAnsi="Times New Roman"/>
                <w:noProof/>
                <w:sz w:val="28"/>
                <w:szCs w:val="28"/>
              </w:rPr>
            </w:pPr>
            <w:r w:rsidRPr="00A40EEA">
              <w:rPr>
                <w:rFonts w:ascii="Times New Roman" w:hAnsi="Times New Roman"/>
                <w:b/>
                <w:noProof/>
                <w:sz w:val="28"/>
                <w:szCs w:val="28"/>
              </w:rPr>
              <w:t>чинного законодавства</w:t>
            </w:r>
          </w:p>
        </w:tc>
        <w:tc>
          <w:tcPr>
            <w:tcW w:w="9194" w:type="dxa"/>
          </w:tcPr>
          <w:p w:rsidR="00613205" w:rsidRPr="00A40EEA" w:rsidRDefault="00613205" w:rsidP="006A6963">
            <w:pPr>
              <w:pStyle w:val="a3"/>
              <w:jc w:val="center"/>
              <w:rPr>
                <w:rFonts w:ascii="Times New Roman" w:hAnsi="Times New Roman"/>
                <w:b/>
                <w:noProof/>
                <w:sz w:val="28"/>
                <w:szCs w:val="28"/>
              </w:rPr>
            </w:pPr>
            <w:r w:rsidRPr="00A40EEA">
              <w:rPr>
                <w:rFonts w:ascii="Times New Roman" w:hAnsi="Times New Roman"/>
                <w:b/>
                <w:noProof/>
                <w:sz w:val="28"/>
                <w:szCs w:val="28"/>
              </w:rPr>
              <w:t>Зміст відповдного положення (норми)</w:t>
            </w:r>
          </w:p>
          <w:p w:rsidR="00613205" w:rsidRPr="00A40EEA" w:rsidRDefault="00613205" w:rsidP="006A6963">
            <w:pPr>
              <w:pStyle w:val="a3"/>
              <w:jc w:val="center"/>
              <w:rPr>
                <w:rFonts w:ascii="Times New Roman" w:hAnsi="Times New Roman"/>
                <w:noProof/>
                <w:sz w:val="28"/>
                <w:szCs w:val="28"/>
              </w:rPr>
            </w:pPr>
            <w:r w:rsidRPr="00A40EEA">
              <w:rPr>
                <w:rFonts w:ascii="Times New Roman" w:hAnsi="Times New Roman"/>
                <w:b/>
                <w:noProof/>
                <w:sz w:val="28"/>
                <w:szCs w:val="28"/>
              </w:rPr>
              <w:t>проекту акта</w:t>
            </w:r>
          </w:p>
        </w:tc>
      </w:tr>
      <w:tr w:rsidR="00613205" w:rsidRPr="00A40EEA" w:rsidTr="006A6963">
        <w:trPr>
          <w:trHeight w:val="394"/>
        </w:trPr>
        <w:tc>
          <w:tcPr>
            <w:tcW w:w="568" w:type="dxa"/>
          </w:tcPr>
          <w:p w:rsidR="00613205" w:rsidRPr="00A40EEA" w:rsidRDefault="00613205" w:rsidP="006A6963">
            <w:pPr>
              <w:jc w:val="both"/>
              <w:rPr>
                <w:rFonts w:ascii="Times New Roman" w:hAnsi="Times New Roman"/>
                <w:b/>
                <w:noProof/>
                <w:sz w:val="28"/>
                <w:szCs w:val="28"/>
              </w:rPr>
            </w:pPr>
          </w:p>
        </w:tc>
        <w:tc>
          <w:tcPr>
            <w:tcW w:w="14183" w:type="dxa"/>
            <w:gridSpan w:val="2"/>
          </w:tcPr>
          <w:p w:rsidR="00613205" w:rsidRPr="00A40EEA" w:rsidRDefault="00613205" w:rsidP="006A6963">
            <w:pPr>
              <w:pStyle w:val="a3"/>
              <w:jc w:val="center"/>
              <w:rPr>
                <w:rFonts w:ascii="Times New Roman" w:hAnsi="Times New Roman"/>
                <w:b/>
                <w:noProof/>
                <w:sz w:val="28"/>
                <w:szCs w:val="28"/>
              </w:rPr>
            </w:pPr>
            <w:r w:rsidRPr="00A40EEA">
              <w:rPr>
                <w:rStyle w:val="rvts9"/>
                <w:rFonts w:ascii="Times New Roman" w:hAnsi="Times New Roman"/>
                <w:b/>
                <w:bCs/>
                <w:color w:val="000000"/>
                <w:sz w:val="28"/>
                <w:szCs w:val="28"/>
              </w:rPr>
              <w:t>Закон України «Про визнання таким, що втратив чинність, Закону України «Про перелік об'єктів права державної власності, що не підлягають приватизації»</w:t>
            </w:r>
          </w:p>
        </w:tc>
      </w:tr>
      <w:tr w:rsidR="00613205" w:rsidRPr="00A40EEA" w:rsidTr="00424DD2">
        <w:trPr>
          <w:trHeight w:val="930"/>
        </w:trPr>
        <w:tc>
          <w:tcPr>
            <w:tcW w:w="568" w:type="dxa"/>
          </w:tcPr>
          <w:p w:rsidR="00613205" w:rsidRPr="00A40EEA" w:rsidRDefault="00613205" w:rsidP="006A6963">
            <w:pPr>
              <w:jc w:val="both"/>
              <w:rPr>
                <w:rFonts w:ascii="Times New Roman" w:hAnsi="Times New Roman"/>
                <w:b/>
                <w:noProof/>
                <w:sz w:val="28"/>
                <w:szCs w:val="28"/>
              </w:rPr>
            </w:pPr>
          </w:p>
        </w:tc>
        <w:tc>
          <w:tcPr>
            <w:tcW w:w="4989" w:type="dxa"/>
          </w:tcPr>
          <w:p w:rsidR="00613205" w:rsidRPr="00A40EEA" w:rsidRDefault="00613205" w:rsidP="006A6963">
            <w:pPr>
              <w:pStyle w:val="a3"/>
              <w:jc w:val="both"/>
              <w:rPr>
                <w:rStyle w:val="rvts9"/>
                <w:rFonts w:ascii="Times New Roman" w:hAnsi="Times New Roman"/>
                <w:b/>
                <w:sz w:val="28"/>
                <w:szCs w:val="28"/>
              </w:rPr>
            </w:pPr>
            <w:r w:rsidRPr="00A40EEA">
              <w:rPr>
                <w:rStyle w:val="rvts9"/>
                <w:rFonts w:ascii="Times New Roman" w:hAnsi="Times New Roman"/>
                <w:b/>
                <w:sz w:val="28"/>
                <w:szCs w:val="28"/>
              </w:rPr>
              <w:t>III. Прикінцеві та перехідні положення</w:t>
            </w:r>
          </w:p>
          <w:p w:rsidR="00613205" w:rsidRPr="00A40EEA" w:rsidRDefault="00613205" w:rsidP="006A6963">
            <w:pPr>
              <w:pStyle w:val="a3"/>
              <w:jc w:val="both"/>
              <w:rPr>
                <w:rFonts w:ascii="Times New Roman" w:hAnsi="Times New Roman"/>
                <w:noProof/>
                <w:sz w:val="28"/>
                <w:szCs w:val="28"/>
              </w:rPr>
            </w:pPr>
            <w:r w:rsidRPr="00A40EEA">
              <w:rPr>
                <w:rFonts w:ascii="Times New Roman" w:hAnsi="Times New Roman"/>
                <w:noProof/>
                <w:sz w:val="28"/>
                <w:szCs w:val="28"/>
              </w:rPr>
              <w:t xml:space="preserve">     3. Забороняється вчиняти виконавчі дії відповідно до Закону України «Про виконавче провадження» щодо об'єктів права державної власності, які на день набрання чинності цим Законом були включені до переліків, затверджених Законом України «Про перелік об'єктів права державної власності, що не підлягають приватизації», протягом трьох років з дня набрання чинності цим Законом, крім стягнення грошових коштів і товарів, що були передані в заставу за кредитними договорами.</w:t>
            </w:r>
          </w:p>
        </w:tc>
        <w:tc>
          <w:tcPr>
            <w:tcW w:w="9194" w:type="dxa"/>
          </w:tcPr>
          <w:p w:rsidR="00613205" w:rsidRPr="00A40EEA" w:rsidRDefault="00613205" w:rsidP="006A6963">
            <w:pPr>
              <w:pStyle w:val="a3"/>
              <w:jc w:val="both"/>
              <w:rPr>
                <w:rStyle w:val="rvts9"/>
                <w:rFonts w:ascii="Times New Roman" w:hAnsi="Times New Roman"/>
                <w:b/>
                <w:sz w:val="28"/>
                <w:szCs w:val="28"/>
              </w:rPr>
            </w:pPr>
            <w:r w:rsidRPr="00A40EEA">
              <w:rPr>
                <w:rStyle w:val="rvts9"/>
                <w:rFonts w:ascii="Times New Roman" w:hAnsi="Times New Roman"/>
                <w:b/>
                <w:sz w:val="28"/>
                <w:szCs w:val="28"/>
              </w:rPr>
              <w:t>III. Прикінцеві та перехідні положення</w:t>
            </w:r>
          </w:p>
          <w:p w:rsidR="00613205" w:rsidRPr="00A40EEA" w:rsidRDefault="00613205" w:rsidP="00567CA8">
            <w:pPr>
              <w:pStyle w:val="a3"/>
              <w:jc w:val="both"/>
              <w:rPr>
                <w:rFonts w:ascii="Times New Roman" w:hAnsi="Times New Roman"/>
                <w:b/>
                <w:noProof/>
                <w:sz w:val="28"/>
                <w:szCs w:val="28"/>
              </w:rPr>
            </w:pPr>
            <w:r w:rsidRPr="00A40EEA">
              <w:rPr>
                <w:rFonts w:ascii="Times New Roman" w:hAnsi="Times New Roman"/>
                <w:b/>
                <w:noProof/>
                <w:sz w:val="28"/>
                <w:szCs w:val="28"/>
              </w:rPr>
              <w:t xml:space="preserve">    </w:t>
            </w:r>
            <w:r w:rsidR="00A40EEA">
              <w:rPr>
                <w:rFonts w:ascii="Times New Roman" w:hAnsi="Times New Roman"/>
                <w:b/>
                <w:noProof/>
                <w:sz w:val="28"/>
                <w:szCs w:val="28"/>
              </w:rPr>
              <w:t xml:space="preserve">3. </w:t>
            </w:r>
            <w:r w:rsidR="003E3E13" w:rsidRPr="00A40EEA">
              <w:rPr>
                <w:rFonts w:ascii="Times New Roman" w:hAnsi="Times New Roman"/>
                <w:b/>
                <w:noProof/>
                <w:sz w:val="28"/>
                <w:szCs w:val="28"/>
              </w:rPr>
              <w:t>Протягом трьох років забороняється</w:t>
            </w:r>
            <w:r w:rsidR="00270AD4" w:rsidRPr="00A40EEA">
              <w:rPr>
                <w:rFonts w:ascii="Times New Roman" w:hAnsi="Times New Roman"/>
                <w:b/>
                <w:noProof/>
                <w:sz w:val="28"/>
                <w:szCs w:val="28"/>
              </w:rPr>
              <w:t xml:space="preserve"> звертати стягнення на об’єкти </w:t>
            </w:r>
            <w:r w:rsidR="003E3E13" w:rsidRPr="00A40EEA">
              <w:rPr>
                <w:rFonts w:ascii="Times New Roman" w:hAnsi="Times New Roman"/>
                <w:b/>
                <w:noProof/>
                <w:sz w:val="28"/>
                <w:szCs w:val="28"/>
              </w:rPr>
              <w:t>нерухомого майна та інші основні засоби виробництва, що забезпечують ведення виробничої діяльності об'єктів права державної власності, які на день набрання чинності цим Законом були включені до переліків, затверджених Законом України «Про перелік об'єктів права державної власності, що не підлягають приватизації»</w:t>
            </w:r>
            <w:r w:rsidR="00C96808" w:rsidRPr="00A40EEA">
              <w:rPr>
                <w:rFonts w:ascii="Times New Roman" w:hAnsi="Times New Roman"/>
                <w:b/>
                <w:noProof/>
                <w:sz w:val="28"/>
                <w:szCs w:val="28"/>
              </w:rPr>
              <w:t>, крім випадків коли стягнення звертається для погашення виплат із заробітної плати та інших виплат, що належать працівнику у звязку із трудовими відносинами,</w:t>
            </w:r>
            <w:r w:rsidR="00C96808" w:rsidRPr="00A40EEA">
              <w:rPr>
                <w:rFonts w:ascii="Times New Roman" w:hAnsi="Times New Roman"/>
                <w:sz w:val="28"/>
                <w:szCs w:val="28"/>
              </w:rPr>
              <w:t xml:space="preserve"> </w:t>
            </w:r>
            <w:r w:rsidR="00C96808" w:rsidRPr="00A40EEA">
              <w:rPr>
                <w:rFonts w:ascii="Times New Roman" w:hAnsi="Times New Roman"/>
                <w:b/>
                <w:sz w:val="28"/>
                <w:szCs w:val="28"/>
              </w:rPr>
              <w:t>відшкодування матеріальної (майнової) шкоди, завданої каліцтвом, іншим ушкодженням здоров’я або смертю, стягнення аліментів та рішень про стягнення заборгованості із сплати внесків до фондів загальнообов’язкового державного соціального страхування, заборгованості із сплати єдиного внеску на загальнообов’язкове державне соціальне страхування.</w:t>
            </w:r>
          </w:p>
        </w:tc>
      </w:tr>
    </w:tbl>
    <w:p w:rsidR="00122939" w:rsidRDefault="00AB62D5">
      <w:pPr>
        <w:rPr>
          <w:rFonts w:ascii="Times New Roman" w:hAnsi="Times New Roman"/>
          <w:sz w:val="12"/>
          <w:szCs w:val="12"/>
        </w:rPr>
      </w:pPr>
    </w:p>
    <w:p w:rsidR="00BF6B0C" w:rsidRDefault="00BF6B0C">
      <w:pPr>
        <w:rPr>
          <w:rFonts w:ascii="Times New Roman" w:hAnsi="Times New Roman"/>
          <w:sz w:val="12"/>
          <w:szCs w:val="12"/>
        </w:rPr>
      </w:pPr>
    </w:p>
    <w:p w:rsidR="00BF6B0C" w:rsidRDefault="002777D7" w:rsidP="00701E82">
      <w:pPr>
        <w:spacing w:after="0"/>
        <w:rPr>
          <w:rFonts w:ascii="Times New Roman" w:hAnsi="Times New Roman"/>
          <w:b/>
          <w:sz w:val="28"/>
          <w:szCs w:val="28"/>
        </w:rPr>
      </w:pPr>
      <w:r>
        <w:rPr>
          <w:rFonts w:ascii="Times New Roman" w:hAnsi="Times New Roman"/>
          <w:b/>
          <w:sz w:val="28"/>
          <w:szCs w:val="28"/>
        </w:rPr>
        <w:t>Міністр</w:t>
      </w:r>
      <w:r w:rsidR="00BF6B0C">
        <w:rPr>
          <w:rFonts w:ascii="Times New Roman" w:hAnsi="Times New Roman"/>
          <w:b/>
          <w:sz w:val="28"/>
          <w:szCs w:val="28"/>
        </w:rPr>
        <w:t xml:space="preserve"> </w:t>
      </w:r>
      <w:r w:rsidR="00424DD2">
        <w:rPr>
          <w:rFonts w:ascii="Times New Roman" w:hAnsi="Times New Roman"/>
          <w:b/>
          <w:sz w:val="28"/>
          <w:szCs w:val="28"/>
        </w:rPr>
        <w:t>розвитку економіки,</w:t>
      </w:r>
    </w:p>
    <w:p w:rsidR="00701E82" w:rsidRPr="00BF6B0C" w:rsidRDefault="00701E82" w:rsidP="00701E82">
      <w:pPr>
        <w:spacing w:after="0"/>
        <w:rPr>
          <w:rFonts w:ascii="Times New Roman" w:hAnsi="Times New Roman"/>
          <w:b/>
          <w:sz w:val="28"/>
          <w:szCs w:val="28"/>
        </w:rPr>
      </w:pPr>
      <w:r>
        <w:rPr>
          <w:rFonts w:ascii="Times New Roman" w:hAnsi="Times New Roman"/>
          <w:b/>
          <w:sz w:val="28"/>
          <w:szCs w:val="28"/>
        </w:rPr>
        <w:t>торгівлі та сільського господарства</w:t>
      </w:r>
      <w:r w:rsidR="002777D7">
        <w:rPr>
          <w:rFonts w:ascii="Times New Roman" w:hAnsi="Times New Roman"/>
          <w:b/>
          <w:sz w:val="28"/>
          <w:szCs w:val="28"/>
        </w:rPr>
        <w:t xml:space="preserve"> України</w:t>
      </w:r>
      <w:r>
        <w:rPr>
          <w:rFonts w:ascii="Times New Roman" w:hAnsi="Times New Roman"/>
          <w:b/>
          <w:sz w:val="28"/>
          <w:szCs w:val="28"/>
        </w:rPr>
        <w:t xml:space="preserve">                                                               </w:t>
      </w:r>
      <w:r w:rsidR="002777D7">
        <w:rPr>
          <w:rFonts w:ascii="Times New Roman" w:hAnsi="Times New Roman"/>
          <w:b/>
          <w:sz w:val="28"/>
          <w:szCs w:val="28"/>
        </w:rPr>
        <w:t xml:space="preserve">                 Тимофій МИЛОВАНОВ</w:t>
      </w:r>
    </w:p>
    <w:sectPr w:rsidR="00701E82" w:rsidRPr="00BF6B0C" w:rsidSect="00613205">
      <w:pgSz w:w="16838" w:h="11906" w:orient="landscape"/>
      <w:pgMar w:top="850" w:right="850" w:bottom="141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205"/>
    <w:rsid w:val="0002306F"/>
    <w:rsid w:val="00104175"/>
    <w:rsid w:val="001F1C21"/>
    <w:rsid w:val="00205D59"/>
    <w:rsid w:val="00270AD4"/>
    <w:rsid w:val="002777D7"/>
    <w:rsid w:val="00297485"/>
    <w:rsid w:val="003E3E13"/>
    <w:rsid w:val="00424DD2"/>
    <w:rsid w:val="004A7700"/>
    <w:rsid w:val="00567CA8"/>
    <w:rsid w:val="00613205"/>
    <w:rsid w:val="0065273C"/>
    <w:rsid w:val="006D453F"/>
    <w:rsid w:val="00701E82"/>
    <w:rsid w:val="00733383"/>
    <w:rsid w:val="00795180"/>
    <w:rsid w:val="00A40EEA"/>
    <w:rsid w:val="00AF22CD"/>
    <w:rsid w:val="00B673CE"/>
    <w:rsid w:val="00BF6B0C"/>
    <w:rsid w:val="00C96808"/>
    <w:rsid w:val="00F37F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8418D7-65CE-4A05-A29E-5E2B966A8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320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13205"/>
    <w:pPr>
      <w:spacing w:after="0" w:line="240" w:lineRule="auto"/>
    </w:pPr>
    <w:rPr>
      <w:rFonts w:ascii="Calibri" w:eastAsia="Calibri" w:hAnsi="Calibri" w:cs="Times New Roman"/>
    </w:rPr>
  </w:style>
  <w:style w:type="character" w:customStyle="1" w:styleId="rvts9">
    <w:name w:val="rvts9"/>
    <w:basedOn w:val="a0"/>
    <w:rsid w:val="00613205"/>
  </w:style>
  <w:style w:type="paragraph" w:styleId="a4">
    <w:name w:val="Balloon Text"/>
    <w:basedOn w:val="a"/>
    <w:link w:val="a5"/>
    <w:uiPriority w:val="99"/>
    <w:semiHidden/>
    <w:unhideWhenUsed/>
    <w:rsid w:val="00270AD4"/>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270AD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1283</Words>
  <Characters>732</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o.lysenko</dc:creator>
  <cp:lastModifiedBy>ДУБРОВЕЦЬ Наталія Василівна</cp:lastModifiedBy>
  <cp:revision>2</cp:revision>
  <cp:lastPrinted>2020-01-14T11:48:00Z</cp:lastPrinted>
  <dcterms:created xsi:type="dcterms:W3CDTF">2020-01-29T09:59:00Z</dcterms:created>
  <dcterms:modified xsi:type="dcterms:W3CDTF">2020-01-29T09:59:00Z</dcterms:modified>
</cp:coreProperties>
</file>