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47" w:rsidRDefault="00713947" w:rsidP="00713947">
      <w:pPr>
        <w:spacing w:line="300" w:lineRule="exact"/>
        <w:ind w:firstLine="567"/>
        <w:jc w:val="center"/>
        <w:rPr>
          <w:b/>
          <w:bCs/>
          <w:sz w:val="28"/>
          <w:szCs w:val="28"/>
          <w:lang w:val="uk-UA"/>
        </w:rPr>
      </w:pPr>
    </w:p>
    <w:p w:rsidR="00484FCC" w:rsidRPr="00D43DEE" w:rsidRDefault="00984005" w:rsidP="00292D26">
      <w:pPr>
        <w:spacing w:after="120" w:line="300" w:lineRule="exact"/>
        <w:ind w:firstLine="567"/>
        <w:jc w:val="center"/>
        <w:rPr>
          <w:b/>
          <w:bCs/>
          <w:sz w:val="28"/>
          <w:szCs w:val="28"/>
          <w:lang w:val="uk-UA"/>
        </w:rPr>
      </w:pPr>
      <w:r w:rsidRPr="00D43DEE">
        <w:rPr>
          <w:b/>
          <w:bCs/>
          <w:sz w:val="28"/>
          <w:szCs w:val="28"/>
          <w:lang w:val="uk-UA"/>
        </w:rPr>
        <w:t>ФІНАНСОВО-ЕКОНОМІЧНЕ ОБГРУНТУВАННЯ</w:t>
      </w:r>
    </w:p>
    <w:p w:rsidR="006D6257" w:rsidRPr="00D43DEE" w:rsidRDefault="00735501" w:rsidP="00292D26">
      <w:pPr>
        <w:spacing w:line="300" w:lineRule="exact"/>
        <w:ind w:firstLine="709"/>
        <w:jc w:val="center"/>
        <w:rPr>
          <w:b/>
          <w:sz w:val="28"/>
          <w:szCs w:val="28"/>
          <w:lang w:val="uk-UA"/>
        </w:rPr>
      </w:pPr>
      <w:r w:rsidRPr="00D43DEE">
        <w:rPr>
          <w:b/>
          <w:sz w:val="28"/>
          <w:szCs w:val="28"/>
          <w:lang w:val="uk-UA"/>
        </w:rPr>
        <w:t>Листа про внесення змін № 3 до Фінансової угоди між Україною та Єв</w:t>
      </w:r>
      <w:r w:rsidR="00646A04">
        <w:rPr>
          <w:b/>
          <w:sz w:val="28"/>
          <w:szCs w:val="28"/>
          <w:lang w:val="uk-UA"/>
        </w:rPr>
        <w:t>ропейським інвестиційним банком</w:t>
      </w:r>
      <w:r w:rsidR="00C467CE" w:rsidRPr="00C467CE">
        <w:rPr>
          <w:b/>
          <w:sz w:val="28"/>
          <w:szCs w:val="28"/>
          <w:lang w:val="uk-UA"/>
        </w:rPr>
        <w:t xml:space="preserve"> </w:t>
      </w:r>
      <w:r w:rsidRPr="00D43DEE">
        <w:rPr>
          <w:b/>
          <w:sz w:val="28"/>
          <w:szCs w:val="28"/>
          <w:lang w:val="uk-UA"/>
        </w:rPr>
        <w:t>(Розвиток системи водопостачання та водовідведення в місті Миколаїв)</w:t>
      </w:r>
    </w:p>
    <w:p w:rsidR="00B411B6" w:rsidRPr="00D43DEE" w:rsidRDefault="00B411B6" w:rsidP="00292D26">
      <w:pPr>
        <w:spacing w:line="300" w:lineRule="exact"/>
        <w:ind w:firstLine="567"/>
        <w:jc w:val="center"/>
        <w:rPr>
          <w:b/>
          <w:bCs/>
          <w:sz w:val="28"/>
          <w:szCs w:val="28"/>
          <w:lang w:val="uk-UA"/>
        </w:rPr>
      </w:pPr>
    </w:p>
    <w:p w:rsidR="00735501" w:rsidRPr="00D43DEE" w:rsidRDefault="00735501" w:rsidP="00292D26">
      <w:pPr>
        <w:spacing w:line="300" w:lineRule="exact"/>
        <w:ind w:firstLine="709"/>
        <w:jc w:val="both"/>
        <w:rPr>
          <w:sz w:val="28"/>
          <w:szCs w:val="28"/>
          <w:lang w:val="uk-UA" w:eastAsia="uk-UA"/>
        </w:rPr>
      </w:pPr>
      <w:r w:rsidRPr="00D43DEE">
        <w:rPr>
          <w:sz w:val="28"/>
          <w:szCs w:val="28"/>
          <w:lang w:val="uk-UA" w:eastAsia="uk-UA"/>
        </w:rPr>
        <w:t>2 лютого 2010 року була укладена Фінансова угода між Україною та Європейським інвестиційним банком (Розвиток системи водопостачання та водовідведення в місті Миколаїв), яка ратифікована Законом України «Про ратифікацію Фінансової угоди між Україною та Європейським інвестиційним банком (Розвиток системи водопостачання та водовідведення в місті Миколаїв) та Листа про внесення змін до Фінансової угоди між Україною та Європейським інвестиційним банком (Розвиток системи водопостачання та водовідведення в місті Миколаїв)» від 20.06.2012 № 4987-VI.</w:t>
      </w:r>
    </w:p>
    <w:p w:rsidR="00735501" w:rsidRDefault="00735501" w:rsidP="00292D2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D43DEE">
        <w:rPr>
          <w:sz w:val="28"/>
          <w:szCs w:val="28"/>
          <w:lang w:val="uk-UA" w:eastAsia="uk-UA"/>
        </w:rPr>
        <w:t xml:space="preserve">Фінансовою угодою визначено основні </w:t>
      </w:r>
      <w:r w:rsidRPr="00D43DEE">
        <w:rPr>
          <w:sz w:val="28"/>
          <w:szCs w:val="28"/>
          <w:lang w:val="uk-UA"/>
        </w:rPr>
        <w:t>умови залучення Позики стосовно:</w:t>
      </w:r>
    </w:p>
    <w:p w:rsidR="006E4A33" w:rsidRDefault="006E4A33" w:rsidP="00292D26">
      <w:pPr>
        <w:spacing w:line="300" w:lineRule="exact"/>
        <w:ind w:firstLine="708"/>
        <w:jc w:val="both"/>
        <w:rPr>
          <w:sz w:val="28"/>
          <w:szCs w:val="28"/>
          <w:lang w:val="uk-UA" w:eastAsia="uk-UA"/>
        </w:rPr>
      </w:pPr>
      <w:r w:rsidRPr="006E4A33">
        <w:rPr>
          <w:sz w:val="28"/>
          <w:szCs w:val="28"/>
          <w:lang w:val="uk-UA" w:eastAsia="uk-UA"/>
        </w:rPr>
        <w:t>загальна вартість Проекту – 31,08 млн. євро (сума кредиту – 15,54 млн. євро; власні кошти / інші джерела – 15,54 млн. євро);</w:t>
      </w:r>
    </w:p>
    <w:p w:rsidR="006E4A33" w:rsidRDefault="006E4A33" w:rsidP="00292D26">
      <w:pPr>
        <w:spacing w:line="300" w:lineRule="exact"/>
        <w:ind w:firstLine="708"/>
        <w:jc w:val="both"/>
        <w:rPr>
          <w:sz w:val="28"/>
          <w:szCs w:val="28"/>
          <w:lang w:val="uk-UA" w:eastAsia="uk-UA"/>
        </w:rPr>
      </w:pPr>
      <w:r w:rsidRPr="006E4A33">
        <w:rPr>
          <w:sz w:val="28"/>
          <w:szCs w:val="28"/>
          <w:lang w:val="uk-UA" w:eastAsia="uk-UA"/>
        </w:rPr>
        <w:t>ставка відсотків – фіксована ставка або плаваюча ставка;</w:t>
      </w:r>
    </w:p>
    <w:p w:rsidR="006E4A33" w:rsidRPr="006E4A33" w:rsidRDefault="006E4A33" w:rsidP="006E4A33">
      <w:pPr>
        <w:spacing w:line="298" w:lineRule="exact"/>
        <w:ind w:firstLine="709"/>
        <w:jc w:val="both"/>
        <w:rPr>
          <w:sz w:val="28"/>
          <w:szCs w:val="28"/>
          <w:lang w:val="uk-UA" w:eastAsia="uk-UA"/>
        </w:rPr>
      </w:pPr>
      <w:r w:rsidRPr="006E4A33">
        <w:rPr>
          <w:sz w:val="28"/>
          <w:szCs w:val="28"/>
          <w:lang w:val="uk-UA" w:eastAsia="uk-UA"/>
        </w:rPr>
        <w:t>перша дата погашення кредиту – дата вибірки Траншу (від 29.06.2018);</w:t>
      </w:r>
    </w:p>
    <w:p w:rsidR="006E4A33" w:rsidRDefault="006E4A33" w:rsidP="006E4A33">
      <w:pPr>
        <w:spacing w:line="300" w:lineRule="exact"/>
        <w:ind w:firstLine="708"/>
        <w:jc w:val="both"/>
        <w:rPr>
          <w:sz w:val="28"/>
          <w:szCs w:val="28"/>
          <w:lang w:val="uk-UA" w:eastAsia="uk-UA"/>
        </w:rPr>
      </w:pPr>
      <w:r w:rsidRPr="006E4A33">
        <w:rPr>
          <w:sz w:val="28"/>
          <w:szCs w:val="28"/>
          <w:lang w:val="uk-UA" w:eastAsia="uk-UA"/>
        </w:rPr>
        <w:t>остання дата погашення кредиту – дата платежу через 15 років від дати вибірки Траншу (від 29.06.2018);</w:t>
      </w:r>
    </w:p>
    <w:p w:rsidR="00735501" w:rsidRPr="00E52157" w:rsidRDefault="006E4A33" w:rsidP="006E4A33">
      <w:pPr>
        <w:spacing w:line="300" w:lineRule="exact"/>
        <w:ind w:firstLine="709"/>
        <w:jc w:val="both"/>
        <w:rPr>
          <w:sz w:val="28"/>
          <w:szCs w:val="28"/>
          <w:lang w:val="uk-UA" w:eastAsia="uk-UA"/>
        </w:rPr>
      </w:pPr>
      <w:r w:rsidRPr="006E4A33">
        <w:rPr>
          <w:sz w:val="28"/>
          <w:szCs w:val="28"/>
          <w:lang w:val="uk-UA" w:eastAsia="uk-UA"/>
        </w:rPr>
        <w:t xml:space="preserve">умови погашення – раз на півроку рівними частками до основної суми боргу або фіксованими платежами, що складаються з основної суми боргу та процентів, пільговий період – 3 роки, загальний період погашення кредиту – </w:t>
      </w:r>
      <w:r w:rsidRPr="006E4A33">
        <w:rPr>
          <w:sz w:val="28"/>
          <w:szCs w:val="28"/>
          <w:lang w:val="uk-UA" w:eastAsia="uk-UA"/>
        </w:rPr>
        <w:br/>
      </w:r>
      <w:r w:rsidRPr="00E52157">
        <w:rPr>
          <w:sz w:val="28"/>
          <w:szCs w:val="28"/>
          <w:lang w:val="uk-UA" w:eastAsia="uk-UA"/>
        </w:rPr>
        <w:t>15 років, у тому числі пільгового, дата платежу – 29 грудня та 29 червня кожного року, валюта кредиту – євро.</w:t>
      </w:r>
    </w:p>
    <w:p w:rsidR="006E4A33" w:rsidRPr="00E52157" w:rsidRDefault="00735501" w:rsidP="006E4A33">
      <w:pPr>
        <w:spacing w:before="60" w:line="300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 xml:space="preserve">Листом про внесення змін </w:t>
      </w:r>
      <w:r w:rsidRPr="00E52157">
        <w:rPr>
          <w:rFonts w:eastAsia="Calibri" w:cs="Calibri"/>
          <w:sz w:val="28"/>
          <w:szCs w:val="28"/>
          <w:lang w:val="uk-UA" w:eastAsia="en-US"/>
        </w:rPr>
        <w:t>№ 3 до Фінансової угоди між Україною та Єв</w:t>
      </w:r>
      <w:r w:rsidR="00C467CE" w:rsidRPr="00E52157">
        <w:rPr>
          <w:rFonts w:eastAsia="Calibri" w:cs="Calibri"/>
          <w:sz w:val="28"/>
          <w:szCs w:val="28"/>
          <w:lang w:val="uk-UA" w:eastAsia="en-US"/>
        </w:rPr>
        <w:t>р</w:t>
      </w:r>
      <w:r w:rsidR="001613D4">
        <w:rPr>
          <w:rFonts w:eastAsia="Calibri" w:cs="Calibri"/>
          <w:sz w:val="28"/>
          <w:szCs w:val="28"/>
          <w:lang w:val="uk-UA" w:eastAsia="en-US"/>
        </w:rPr>
        <w:t xml:space="preserve">опейським інвестиційним банком </w:t>
      </w:r>
      <w:r w:rsidRPr="00E52157">
        <w:rPr>
          <w:sz w:val="28"/>
          <w:szCs w:val="28"/>
          <w:lang w:val="uk-UA" w:eastAsia="uk-UA"/>
        </w:rPr>
        <w:t>передбачено</w:t>
      </w:r>
      <w:r w:rsidR="006E4A33" w:rsidRPr="00E52157">
        <w:rPr>
          <w:sz w:val="28"/>
          <w:szCs w:val="28"/>
          <w:lang w:val="uk-UA" w:eastAsia="uk-UA"/>
        </w:rPr>
        <w:t>:</w:t>
      </w:r>
    </w:p>
    <w:p w:rsidR="006E4A33" w:rsidRPr="00E52157" w:rsidRDefault="006E4A33" w:rsidP="006E4A33">
      <w:pPr>
        <w:spacing w:line="298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 xml:space="preserve">загальна вартість першого етапу Проекту – 31,08 млн. євро з них: кредитні кошти ЄІБ – 15,54 млн. євро; власні кошти / інші джерела – </w:t>
      </w:r>
      <w:r w:rsidR="000F47B5" w:rsidRPr="00E52157">
        <w:rPr>
          <w:sz w:val="28"/>
          <w:szCs w:val="28"/>
          <w:lang w:val="uk-UA" w:eastAsia="uk-UA"/>
        </w:rPr>
        <w:br/>
      </w:r>
      <w:r w:rsidRPr="00E52157">
        <w:rPr>
          <w:sz w:val="28"/>
          <w:szCs w:val="28"/>
          <w:lang w:val="uk-UA" w:eastAsia="uk-UA"/>
        </w:rPr>
        <w:t>15,54 млн. євро;</w:t>
      </w:r>
    </w:p>
    <w:p w:rsidR="006E4A33" w:rsidRPr="00E52157" w:rsidRDefault="006E4A33" w:rsidP="006E4A33">
      <w:pPr>
        <w:spacing w:line="298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>ЄІБ надає кредит шляхом видачі 4 траншів (неменше ніж 3 млн. євро);</w:t>
      </w:r>
    </w:p>
    <w:p w:rsidR="006E4A33" w:rsidRPr="00E52157" w:rsidRDefault="006E4A33" w:rsidP="006E4A33">
      <w:pPr>
        <w:spacing w:line="298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>перший транш (5 млн. євро) видано в грудні 2014 року;</w:t>
      </w:r>
    </w:p>
    <w:p w:rsidR="006E4A33" w:rsidRPr="00E52157" w:rsidRDefault="006E4A33" w:rsidP="006E4A33">
      <w:pPr>
        <w:spacing w:line="298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>відстрочка повернення кредиту – 3 роки, процентна ставка – LIBOR +0,55%, ставка плати за зобов’язання (збереження кредиту) – 0%;</w:t>
      </w:r>
    </w:p>
    <w:p w:rsidR="00292D26" w:rsidRPr="00E52157" w:rsidRDefault="006E4A33" w:rsidP="006E4A33">
      <w:pPr>
        <w:spacing w:line="300" w:lineRule="exact"/>
        <w:ind w:firstLine="709"/>
        <w:jc w:val="both"/>
        <w:rPr>
          <w:sz w:val="28"/>
          <w:szCs w:val="28"/>
          <w:lang w:val="uk-UA" w:eastAsia="uk-UA"/>
        </w:rPr>
      </w:pPr>
      <w:r w:rsidRPr="00E52157">
        <w:rPr>
          <w:sz w:val="28"/>
          <w:szCs w:val="28"/>
          <w:lang w:val="uk-UA" w:eastAsia="uk-UA"/>
        </w:rPr>
        <w:t>джерело погашення кредиту – прибуток МКП «Миколаївводоканал», повернення кредиту – щорічно частками.</w:t>
      </w:r>
    </w:p>
    <w:p w:rsidR="00713947" w:rsidRPr="00E52157" w:rsidRDefault="00713947" w:rsidP="00292D2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E52157">
        <w:rPr>
          <w:sz w:val="28"/>
          <w:szCs w:val="28"/>
          <w:lang w:val="uk-UA"/>
        </w:rPr>
        <w:t xml:space="preserve">Отже </w:t>
      </w:r>
      <w:r w:rsidR="00292D26" w:rsidRPr="00E52157">
        <w:rPr>
          <w:sz w:val="28"/>
          <w:szCs w:val="28"/>
          <w:lang w:val="uk-UA"/>
        </w:rPr>
        <w:t xml:space="preserve">вартість Проекту </w:t>
      </w:r>
      <w:r w:rsidRPr="00E52157">
        <w:rPr>
          <w:sz w:val="28"/>
          <w:szCs w:val="28"/>
          <w:lang w:val="uk-UA"/>
        </w:rPr>
        <w:t>залиша</w:t>
      </w:r>
      <w:r w:rsidR="00292D26" w:rsidRPr="00E52157">
        <w:rPr>
          <w:sz w:val="28"/>
          <w:szCs w:val="28"/>
          <w:lang w:val="uk-UA"/>
        </w:rPr>
        <w:t>є</w:t>
      </w:r>
      <w:r w:rsidRPr="00E52157">
        <w:rPr>
          <w:sz w:val="28"/>
          <w:szCs w:val="28"/>
          <w:lang w:val="uk-UA"/>
        </w:rPr>
        <w:t>ться незмінн</w:t>
      </w:r>
      <w:r w:rsidR="00292D26" w:rsidRPr="00E52157">
        <w:rPr>
          <w:sz w:val="28"/>
          <w:szCs w:val="28"/>
          <w:lang w:val="uk-UA"/>
        </w:rPr>
        <w:t xml:space="preserve">ою, </w:t>
      </w:r>
      <w:r w:rsidRPr="00E52157">
        <w:rPr>
          <w:sz w:val="28"/>
          <w:szCs w:val="28"/>
          <w:lang w:val="uk-UA"/>
        </w:rPr>
        <w:t xml:space="preserve">оскільки </w:t>
      </w:r>
      <w:r w:rsidR="00292D26" w:rsidRPr="00E52157">
        <w:rPr>
          <w:sz w:val="28"/>
          <w:szCs w:val="28"/>
          <w:lang w:val="uk-UA"/>
        </w:rPr>
        <w:t xml:space="preserve">її </w:t>
      </w:r>
      <w:r w:rsidR="00A96549">
        <w:rPr>
          <w:sz w:val="28"/>
          <w:szCs w:val="28"/>
          <w:lang w:val="uk-UA"/>
        </w:rPr>
        <w:t xml:space="preserve">              </w:t>
      </w:r>
      <w:r w:rsidRPr="00E52157">
        <w:rPr>
          <w:sz w:val="28"/>
          <w:szCs w:val="28"/>
          <w:lang w:val="uk-UA"/>
        </w:rPr>
        <w:t xml:space="preserve">коригування може призвести до перегляду обсягу виділених Банком кредитних коштів, дострокового припинення чинної Фінансової угоди, що потребуватиме негайного погашення отриманого у грудні 2014 року першого траншу в сумі 5 млн. євро та інших платежів з боку України. </w:t>
      </w:r>
      <w:r w:rsidRPr="00E52157">
        <w:rPr>
          <w:bCs/>
          <w:sz w:val="28"/>
          <w:szCs w:val="28"/>
          <w:lang w:val="uk-UA"/>
        </w:rPr>
        <w:t>У випадку збільшення вартості компонентів проекту МКП «Миколаївводоканал» планує здійснювати співфінансування за рахунок власних коштів, що передбачені Інвестиційною програмою, яка затверджується щорічно.</w:t>
      </w:r>
    </w:p>
    <w:p w:rsidR="00735501" w:rsidRPr="00E52157" w:rsidRDefault="00E52157" w:rsidP="00292D26">
      <w:pPr>
        <w:spacing w:line="300" w:lineRule="exact"/>
        <w:ind w:firstLine="709"/>
        <w:jc w:val="both"/>
        <w:rPr>
          <w:sz w:val="28"/>
          <w:szCs w:val="28"/>
          <w:lang w:val="uk-UA"/>
        </w:rPr>
      </w:pPr>
      <w:r w:rsidRPr="00E52157">
        <w:rPr>
          <w:sz w:val="28"/>
          <w:szCs w:val="28"/>
          <w:lang w:val="uk-UA"/>
        </w:rPr>
        <w:t>На сьогодні вибірка коштів становить 75,8 % від першого траншу або 24,4 % – від загальної суми кредитних коштів ЄІБ.</w:t>
      </w:r>
    </w:p>
    <w:p w:rsidR="00E52157" w:rsidRPr="00E52157" w:rsidRDefault="00E52157" w:rsidP="00E52157">
      <w:pPr>
        <w:pStyle w:val="rvps2"/>
        <w:shd w:val="clear" w:color="auto" w:fill="FFFFFF"/>
        <w:spacing w:before="60" w:beforeAutospacing="0" w:after="0" w:afterAutospacing="0" w:line="298" w:lineRule="exact"/>
        <w:ind w:firstLine="851"/>
        <w:jc w:val="both"/>
        <w:textAlignment w:val="baseline"/>
        <w:rPr>
          <w:sz w:val="28"/>
          <w:szCs w:val="28"/>
        </w:rPr>
      </w:pPr>
      <w:r w:rsidRPr="00E52157">
        <w:rPr>
          <w:sz w:val="28"/>
          <w:szCs w:val="28"/>
        </w:rPr>
        <w:t>Відповідно до Листа про внесення змін</w:t>
      </w:r>
      <w:r w:rsidR="001613D4">
        <w:rPr>
          <w:sz w:val="28"/>
          <w:szCs w:val="28"/>
        </w:rPr>
        <w:t xml:space="preserve"> № 3</w:t>
      </w:r>
      <w:r w:rsidRPr="00E52157">
        <w:rPr>
          <w:sz w:val="28"/>
          <w:szCs w:val="28"/>
        </w:rPr>
        <w:t xml:space="preserve"> Позичальником коштів</w:t>
      </w:r>
      <w:r w:rsidR="00A96549">
        <w:rPr>
          <w:sz w:val="28"/>
          <w:szCs w:val="28"/>
        </w:rPr>
        <w:t xml:space="preserve">    </w:t>
      </w:r>
      <w:bookmarkStart w:id="0" w:name="_GoBack"/>
      <w:bookmarkEnd w:id="0"/>
      <w:r w:rsidRPr="00E52157">
        <w:rPr>
          <w:sz w:val="28"/>
          <w:szCs w:val="28"/>
        </w:rPr>
        <w:t xml:space="preserve"> ЄІБ виступатиме Україна в особі Міністерства регіонального розвитку, будівництва та житлово-комунального господарства України, що є </w:t>
      </w:r>
      <w:r w:rsidRPr="00E52157">
        <w:rPr>
          <w:sz w:val="28"/>
          <w:szCs w:val="28"/>
        </w:rPr>
        <w:lastRenderedPageBreak/>
        <w:t xml:space="preserve">відповідальним виконавцем Проекту, Ініціатором – місто Миколаїв, </w:t>
      </w:r>
      <w:r w:rsidR="00A96549">
        <w:rPr>
          <w:sz w:val="28"/>
          <w:szCs w:val="28"/>
        </w:rPr>
        <w:t xml:space="preserve">              </w:t>
      </w:r>
      <w:r w:rsidRPr="00E52157">
        <w:rPr>
          <w:sz w:val="28"/>
          <w:szCs w:val="28"/>
        </w:rPr>
        <w:t xml:space="preserve">Кінцевим </w:t>
      </w:r>
      <w:proofErr w:type="spellStart"/>
      <w:r w:rsidRPr="00E52157">
        <w:rPr>
          <w:sz w:val="28"/>
          <w:szCs w:val="28"/>
        </w:rPr>
        <w:t>бенефіціаром</w:t>
      </w:r>
      <w:proofErr w:type="spellEnd"/>
      <w:r w:rsidRPr="00E52157">
        <w:rPr>
          <w:sz w:val="28"/>
          <w:szCs w:val="28"/>
        </w:rPr>
        <w:t xml:space="preserve"> – міське комунальне підприємство «Миколаївводоканал».</w:t>
      </w:r>
    </w:p>
    <w:p w:rsidR="00735501" w:rsidRPr="00E52157" w:rsidRDefault="00E52157" w:rsidP="00E52157">
      <w:pPr>
        <w:shd w:val="clear" w:color="auto" w:fill="FFFFFF"/>
        <w:spacing w:line="300" w:lineRule="exact"/>
        <w:ind w:firstLine="709"/>
        <w:jc w:val="both"/>
        <w:textAlignment w:val="baseline"/>
        <w:rPr>
          <w:sz w:val="28"/>
          <w:szCs w:val="28"/>
          <w:lang w:val="uk-UA"/>
        </w:rPr>
      </w:pPr>
      <w:r w:rsidRPr="00E52157">
        <w:rPr>
          <w:sz w:val="28"/>
          <w:szCs w:val="28"/>
          <w:lang w:val="uk-UA"/>
        </w:rPr>
        <w:t>Згідно постанови Кабінету Міністрів України від 2 вересня 2019 р. № 829 «Деякі питання оптимізації системи центральних органів виконавчої влади» Міністерство регіонального розвитку, будівництва та житлово-комунального господарства перейменовано на Міністерство розвитку громад та територій України.</w:t>
      </w:r>
    </w:p>
    <w:p w:rsidR="00E52157" w:rsidRPr="00E52157" w:rsidRDefault="001613D4" w:rsidP="00E52157">
      <w:pPr>
        <w:shd w:val="clear" w:color="auto" w:fill="FFFFFF"/>
        <w:spacing w:line="300" w:lineRule="exact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Ратифікація</w:t>
      </w:r>
      <w:r w:rsidR="00E52157" w:rsidRPr="00E52157">
        <w:rPr>
          <w:sz w:val="28"/>
          <w:szCs w:val="28"/>
          <w:lang w:val="uk-UA"/>
        </w:rPr>
        <w:t xml:space="preserve"> Листа про внесення змін</w:t>
      </w:r>
      <w:r>
        <w:rPr>
          <w:sz w:val="28"/>
          <w:szCs w:val="28"/>
          <w:lang w:val="uk-UA"/>
        </w:rPr>
        <w:t xml:space="preserve"> № 3 забезпечить</w:t>
      </w:r>
      <w:r w:rsidR="00E52157" w:rsidRPr="00E52157">
        <w:rPr>
          <w:sz w:val="28"/>
          <w:szCs w:val="28"/>
          <w:lang w:val="uk-UA"/>
        </w:rPr>
        <w:t xml:space="preserve"> подовження терміну реалізації інвестиційного Проекту «Розвиток системи </w:t>
      </w:r>
      <w:r w:rsidR="00A96549">
        <w:rPr>
          <w:sz w:val="28"/>
          <w:szCs w:val="28"/>
          <w:lang w:val="uk-UA"/>
        </w:rPr>
        <w:t xml:space="preserve">    </w:t>
      </w:r>
      <w:r w:rsidR="00E52157" w:rsidRPr="00E52157">
        <w:rPr>
          <w:sz w:val="28"/>
          <w:szCs w:val="28"/>
          <w:lang w:val="uk-UA"/>
        </w:rPr>
        <w:t>водопостачання та водовідведення в місті Миколаїв» до</w:t>
      </w:r>
      <w:r>
        <w:rPr>
          <w:sz w:val="28"/>
          <w:szCs w:val="28"/>
          <w:lang w:val="uk-UA"/>
        </w:rPr>
        <w:t xml:space="preserve"> кінця</w:t>
      </w:r>
      <w:r w:rsidR="00E52157" w:rsidRPr="00E52157">
        <w:rPr>
          <w:sz w:val="28"/>
          <w:szCs w:val="28"/>
          <w:lang w:val="uk-UA"/>
        </w:rPr>
        <w:t xml:space="preserve"> 2020 року т</w:t>
      </w:r>
      <w:r>
        <w:rPr>
          <w:sz w:val="28"/>
          <w:szCs w:val="28"/>
          <w:lang w:val="uk-UA"/>
        </w:rPr>
        <w:t>а</w:t>
      </w:r>
      <w:r w:rsidR="00E52157" w:rsidRPr="00E52157">
        <w:rPr>
          <w:sz w:val="28"/>
          <w:szCs w:val="28"/>
          <w:lang w:val="uk-UA"/>
        </w:rPr>
        <w:t xml:space="preserve"> не потребує будь-яких додаткових матеріальних та фінансових витрат з Державного бюджету України.</w:t>
      </w:r>
    </w:p>
    <w:p w:rsidR="00713947" w:rsidRDefault="00713947" w:rsidP="00292D26">
      <w:pPr>
        <w:spacing w:line="300" w:lineRule="exact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1613D4" w:rsidRPr="00E52157" w:rsidRDefault="001613D4" w:rsidP="00292D26">
      <w:pPr>
        <w:spacing w:line="300" w:lineRule="exact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91307" w:rsidRPr="00D43DEE" w:rsidRDefault="00291307" w:rsidP="00292D26">
      <w:pPr>
        <w:spacing w:line="300" w:lineRule="exact"/>
        <w:ind w:firstLine="720"/>
        <w:jc w:val="both"/>
        <w:rPr>
          <w:rFonts w:eastAsia="Calibri"/>
          <w:sz w:val="28"/>
          <w:szCs w:val="28"/>
          <w:lang w:val="uk-UA" w:eastAsia="uk-UA"/>
        </w:rPr>
      </w:pPr>
    </w:p>
    <w:p w:rsidR="00E52157" w:rsidRPr="00E52157" w:rsidRDefault="00E52157" w:rsidP="00E52157">
      <w:pPr>
        <w:jc w:val="both"/>
        <w:rPr>
          <w:b/>
          <w:sz w:val="28"/>
          <w:szCs w:val="28"/>
          <w:lang w:val="uk-UA"/>
        </w:rPr>
      </w:pPr>
      <w:r w:rsidRPr="00E52157">
        <w:rPr>
          <w:b/>
          <w:sz w:val="28"/>
          <w:szCs w:val="28"/>
          <w:lang w:val="uk-UA"/>
        </w:rPr>
        <w:t xml:space="preserve">Міністр розвитку громад </w:t>
      </w:r>
    </w:p>
    <w:p w:rsidR="00292D26" w:rsidRPr="00E52157" w:rsidRDefault="00E52157" w:rsidP="00E52157">
      <w:pPr>
        <w:spacing w:line="300" w:lineRule="exact"/>
        <w:jc w:val="both"/>
        <w:rPr>
          <w:rFonts w:eastAsia="Calibri"/>
          <w:b/>
          <w:sz w:val="28"/>
          <w:szCs w:val="28"/>
          <w:lang w:val="uk-UA" w:eastAsia="en-US"/>
        </w:rPr>
      </w:pPr>
      <w:r w:rsidRPr="00E52157">
        <w:rPr>
          <w:b/>
          <w:sz w:val="28"/>
          <w:szCs w:val="28"/>
          <w:lang w:val="uk-UA"/>
        </w:rPr>
        <w:t>та територій України                                                                  Альона БАБАК</w:t>
      </w:r>
    </w:p>
    <w:p w:rsidR="00292D26" w:rsidRPr="00292D26" w:rsidRDefault="00292D26" w:rsidP="00292D26">
      <w:pPr>
        <w:spacing w:before="200" w:line="300" w:lineRule="exact"/>
        <w:jc w:val="both"/>
        <w:rPr>
          <w:rFonts w:eastAsia="Calibri"/>
          <w:sz w:val="28"/>
          <w:szCs w:val="28"/>
          <w:lang w:val="uk-UA" w:eastAsia="en-US"/>
        </w:rPr>
      </w:pPr>
      <w:r w:rsidRPr="00292D26">
        <w:rPr>
          <w:rFonts w:eastAsia="Calibri"/>
          <w:sz w:val="28"/>
          <w:szCs w:val="28"/>
          <w:lang w:val="uk-UA" w:eastAsia="en-US"/>
        </w:rPr>
        <w:t>_____________________201</w:t>
      </w:r>
      <w:r w:rsidR="00C467CE">
        <w:rPr>
          <w:rFonts w:eastAsia="Calibri"/>
          <w:sz w:val="28"/>
          <w:szCs w:val="28"/>
          <w:lang w:val="uk-UA" w:eastAsia="en-US"/>
        </w:rPr>
        <w:t>9</w:t>
      </w:r>
      <w:r w:rsidRPr="00292D26">
        <w:rPr>
          <w:rFonts w:eastAsia="Calibri"/>
          <w:sz w:val="28"/>
          <w:szCs w:val="28"/>
          <w:lang w:val="uk-UA" w:eastAsia="en-US"/>
        </w:rPr>
        <w:t xml:space="preserve"> р.</w:t>
      </w:r>
    </w:p>
    <w:p w:rsidR="006D6257" w:rsidRPr="00D43DEE" w:rsidRDefault="006D6257" w:rsidP="00292D26">
      <w:pPr>
        <w:spacing w:line="300" w:lineRule="exact"/>
        <w:ind w:firstLine="720"/>
        <w:jc w:val="both"/>
        <w:rPr>
          <w:b/>
          <w:sz w:val="28"/>
          <w:szCs w:val="28"/>
          <w:lang w:val="uk-UA"/>
        </w:rPr>
      </w:pPr>
    </w:p>
    <w:sectPr w:rsidR="006D6257" w:rsidRPr="00D43DEE" w:rsidSect="00292D26">
      <w:headerReference w:type="default" r:id="rId7"/>
      <w:pgSz w:w="11906" w:h="16838"/>
      <w:pgMar w:top="552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4A8" w:rsidRDefault="00A634A8" w:rsidP="00292D26">
      <w:r>
        <w:separator/>
      </w:r>
    </w:p>
  </w:endnote>
  <w:endnote w:type="continuationSeparator" w:id="0">
    <w:p w:rsidR="00A634A8" w:rsidRDefault="00A634A8" w:rsidP="0029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4A8" w:rsidRDefault="00A634A8" w:rsidP="00292D26">
      <w:r>
        <w:separator/>
      </w:r>
    </w:p>
  </w:footnote>
  <w:footnote w:type="continuationSeparator" w:id="0">
    <w:p w:rsidR="00A634A8" w:rsidRDefault="00A634A8" w:rsidP="0029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D26" w:rsidRDefault="00292D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96549" w:rsidRPr="00A96549">
      <w:rPr>
        <w:noProof/>
        <w:lang w:val="uk-UA"/>
      </w:rPr>
      <w:t>2</w:t>
    </w:r>
    <w:r>
      <w:fldChar w:fldCharType="end"/>
    </w:r>
  </w:p>
  <w:p w:rsidR="00292D26" w:rsidRDefault="00292D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42ABC"/>
    <w:multiLevelType w:val="hybridMultilevel"/>
    <w:tmpl w:val="A0CAE4A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C750CED"/>
    <w:multiLevelType w:val="hybridMultilevel"/>
    <w:tmpl w:val="FCB4095A"/>
    <w:lvl w:ilvl="0" w:tplc="267AA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D4475C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514E6B1B"/>
    <w:multiLevelType w:val="hybridMultilevel"/>
    <w:tmpl w:val="6C962E9C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9800DE"/>
    <w:multiLevelType w:val="hybridMultilevel"/>
    <w:tmpl w:val="FCB4095A"/>
    <w:lvl w:ilvl="0" w:tplc="267AA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D4475C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607F2DA8"/>
    <w:multiLevelType w:val="hybridMultilevel"/>
    <w:tmpl w:val="95E0393C"/>
    <w:lvl w:ilvl="0" w:tplc="357A05C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A3C22"/>
    <w:multiLevelType w:val="hybridMultilevel"/>
    <w:tmpl w:val="4DDA2F5E"/>
    <w:lvl w:ilvl="0" w:tplc="8BB8A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BC"/>
    <w:rsid w:val="0000383F"/>
    <w:rsid w:val="00005B40"/>
    <w:rsid w:val="000526BE"/>
    <w:rsid w:val="00060C59"/>
    <w:rsid w:val="00061883"/>
    <w:rsid w:val="00071135"/>
    <w:rsid w:val="00077753"/>
    <w:rsid w:val="00092A03"/>
    <w:rsid w:val="000A3704"/>
    <w:rsid w:val="000C4921"/>
    <w:rsid w:val="000E2AEF"/>
    <w:rsid w:val="000E570E"/>
    <w:rsid w:val="000F47B5"/>
    <w:rsid w:val="0011440E"/>
    <w:rsid w:val="001613D4"/>
    <w:rsid w:val="001658D6"/>
    <w:rsid w:val="001660AF"/>
    <w:rsid w:val="00260FB4"/>
    <w:rsid w:val="00291307"/>
    <w:rsid w:val="00292D26"/>
    <w:rsid w:val="002D3570"/>
    <w:rsid w:val="002E402E"/>
    <w:rsid w:val="0030217C"/>
    <w:rsid w:val="0030593F"/>
    <w:rsid w:val="003267BA"/>
    <w:rsid w:val="00362166"/>
    <w:rsid w:val="0036698B"/>
    <w:rsid w:val="00376426"/>
    <w:rsid w:val="003A7D19"/>
    <w:rsid w:val="003B45A1"/>
    <w:rsid w:val="003E5C3F"/>
    <w:rsid w:val="003F3EBC"/>
    <w:rsid w:val="00406B7D"/>
    <w:rsid w:val="00420ED6"/>
    <w:rsid w:val="004216D5"/>
    <w:rsid w:val="004232ED"/>
    <w:rsid w:val="00450D7B"/>
    <w:rsid w:val="00464489"/>
    <w:rsid w:val="004746C8"/>
    <w:rsid w:val="00484FCC"/>
    <w:rsid w:val="004B332F"/>
    <w:rsid w:val="004B5DDB"/>
    <w:rsid w:val="004D1B3A"/>
    <w:rsid w:val="00524306"/>
    <w:rsid w:val="00540ED9"/>
    <w:rsid w:val="0054773B"/>
    <w:rsid w:val="005913EF"/>
    <w:rsid w:val="005E19CB"/>
    <w:rsid w:val="005F625E"/>
    <w:rsid w:val="00623071"/>
    <w:rsid w:val="00646A04"/>
    <w:rsid w:val="00656369"/>
    <w:rsid w:val="00670C70"/>
    <w:rsid w:val="006801B9"/>
    <w:rsid w:val="00683447"/>
    <w:rsid w:val="006C47F5"/>
    <w:rsid w:val="006D6257"/>
    <w:rsid w:val="006E4A33"/>
    <w:rsid w:val="00706E4C"/>
    <w:rsid w:val="007075AD"/>
    <w:rsid w:val="00713941"/>
    <w:rsid w:val="00713947"/>
    <w:rsid w:val="00733543"/>
    <w:rsid w:val="00733585"/>
    <w:rsid w:val="00735501"/>
    <w:rsid w:val="00746354"/>
    <w:rsid w:val="00773FF1"/>
    <w:rsid w:val="00784260"/>
    <w:rsid w:val="007D050B"/>
    <w:rsid w:val="00823544"/>
    <w:rsid w:val="00823E4A"/>
    <w:rsid w:val="00831404"/>
    <w:rsid w:val="00832D02"/>
    <w:rsid w:val="008902FA"/>
    <w:rsid w:val="00893EDC"/>
    <w:rsid w:val="008A6E34"/>
    <w:rsid w:val="008D4B43"/>
    <w:rsid w:val="008F29B2"/>
    <w:rsid w:val="00916632"/>
    <w:rsid w:val="009563FB"/>
    <w:rsid w:val="00982225"/>
    <w:rsid w:val="00984005"/>
    <w:rsid w:val="00984489"/>
    <w:rsid w:val="009E1288"/>
    <w:rsid w:val="009F0500"/>
    <w:rsid w:val="00A049DA"/>
    <w:rsid w:val="00A33BE2"/>
    <w:rsid w:val="00A35E57"/>
    <w:rsid w:val="00A41B90"/>
    <w:rsid w:val="00A634A8"/>
    <w:rsid w:val="00A772CF"/>
    <w:rsid w:val="00A95F14"/>
    <w:rsid w:val="00A96549"/>
    <w:rsid w:val="00AE16CC"/>
    <w:rsid w:val="00AF37D3"/>
    <w:rsid w:val="00B119C5"/>
    <w:rsid w:val="00B411B6"/>
    <w:rsid w:val="00B73829"/>
    <w:rsid w:val="00BC0E4D"/>
    <w:rsid w:val="00BF0713"/>
    <w:rsid w:val="00C13C00"/>
    <w:rsid w:val="00C20B5A"/>
    <w:rsid w:val="00C21320"/>
    <w:rsid w:val="00C2135B"/>
    <w:rsid w:val="00C467CE"/>
    <w:rsid w:val="00C6526D"/>
    <w:rsid w:val="00C944D9"/>
    <w:rsid w:val="00CA6E2F"/>
    <w:rsid w:val="00CB2952"/>
    <w:rsid w:val="00CE609C"/>
    <w:rsid w:val="00D16C54"/>
    <w:rsid w:val="00D20225"/>
    <w:rsid w:val="00D43DEE"/>
    <w:rsid w:val="00D45FFC"/>
    <w:rsid w:val="00D82885"/>
    <w:rsid w:val="00DA7009"/>
    <w:rsid w:val="00DD1DB3"/>
    <w:rsid w:val="00DE20ED"/>
    <w:rsid w:val="00DF5144"/>
    <w:rsid w:val="00E12C07"/>
    <w:rsid w:val="00E23782"/>
    <w:rsid w:val="00E52157"/>
    <w:rsid w:val="00E91679"/>
    <w:rsid w:val="00EB6D6B"/>
    <w:rsid w:val="00EF41E3"/>
    <w:rsid w:val="00F0012D"/>
    <w:rsid w:val="00F1666F"/>
    <w:rsid w:val="00F2763C"/>
    <w:rsid w:val="00F41118"/>
    <w:rsid w:val="00F709EA"/>
    <w:rsid w:val="00F84C98"/>
    <w:rsid w:val="00F94273"/>
    <w:rsid w:val="00F945FB"/>
    <w:rsid w:val="00FA09CB"/>
    <w:rsid w:val="00FA78AC"/>
    <w:rsid w:val="00FB2735"/>
    <w:rsid w:val="00FC21ED"/>
    <w:rsid w:val="00FC6ED7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F121A"/>
  <w15:chartTrackingRefBased/>
  <w15:docId w15:val="{4091B92B-5260-4AD4-BD21-D09EB55C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E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F41E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F41E3"/>
    <w:rPr>
      <w:rFonts w:ascii="Tahoma" w:hAnsi="Tahoma"/>
      <w:sz w:val="16"/>
      <w:lang w:val="ru-RU" w:eastAsia="ru-RU"/>
    </w:rPr>
  </w:style>
  <w:style w:type="paragraph" w:styleId="a5">
    <w:name w:val="List Paragraph"/>
    <w:basedOn w:val="a"/>
    <w:uiPriority w:val="99"/>
    <w:qFormat/>
    <w:rsid w:val="00B41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ListParagraph1">
    <w:name w:val="List Paragraph1"/>
    <w:basedOn w:val="a"/>
    <w:uiPriority w:val="99"/>
    <w:rsid w:val="00B411B6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de-DE" w:eastAsia="zh-CN"/>
    </w:rPr>
  </w:style>
  <w:style w:type="paragraph" w:styleId="HTML">
    <w:name w:val="HTML Preformatted"/>
    <w:basedOn w:val="a"/>
    <w:link w:val="HTML0"/>
    <w:uiPriority w:val="99"/>
    <w:rsid w:val="00B41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92D2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292D2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92D2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292D26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E5215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54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2472</Words>
  <Characters>1410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ФІНАНСОВО-ЕКОНОМІЧНЕ ОБГРУНТУВАННЯ</vt:lpstr>
      <vt:lpstr>ФІНАНСОВО-ЕКОНОМІЧНЕ ОБГРУНТУВАННЯ</vt:lpstr>
    </vt:vector>
  </TitlesOfParts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2019-12-12T11:35:00Z</cp:lastPrinted>
  <dcterms:created xsi:type="dcterms:W3CDTF">2019-12-21T13:09:00Z</dcterms:created>
  <dcterms:modified xsi:type="dcterms:W3CDTF">2019-12-21T13:11:00Z</dcterms:modified>
</cp:coreProperties>
</file>