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B51" w:rsidRPr="006A1B51" w:rsidRDefault="006A1B51" w:rsidP="006A1B51">
      <w:pPr>
        <w:spacing w:after="0" w:line="240" w:lineRule="auto"/>
        <w:jc w:val="center"/>
        <w:rPr>
          <w:rFonts w:ascii="Times New Roman" w:hAnsi="Times New Roman" w:cs="Times New Roman"/>
          <w:b/>
          <w:sz w:val="28"/>
          <w:szCs w:val="28"/>
        </w:rPr>
      </w:pPr>
      <w:r w:rsidRPr="006A1B51">
        <w:rPr>
          <w:rFonts w:ascii="Times New Roman" w:hAnsi="Times New Roman" w:cs="Times New Roman"/>
          <w:b/>
          <w:sz w:val="28"/>
          <w:szCs w:val="28"/>
        </w:rPr>
        <w:t>ПРОГНОЗ ВПЛИВУ</w:t>
      </w:r>
    </w:p>
    <w:p w:rsidR="00DC48A5" w:rsidRPr="00A81CA3" w:rsidRDefault="006A1B51" w:rsidP="00DC48A5">
      <w:pPr>
        <w:pStyle w:val="2"/>
        <w:tabs>
          <w:tab w:val="left" w:pos="851"/>
        </w:tabs>
        <w:spacing w:before="0" w:beforeAutospacing="0" w:after="0" w:afterAutospacing="0"/>
        <w:jc w:val="center"/>
        <w:rPr>
          <w:sz w:val="28"/>
          <w:szCs w:val="28"/>
          <w:lang w:val="uk-UA"/>
        </w:rPr>
      </w:pPr>
      <w:r w:rsidRPr="00DC48A5">
        <w:rPr>
          <w:sz w:val="28"/>
          <w:szCs w:val="28"/>
          <w:lang w:val="uk-UA"/>
        </w:rPr>
        <w:t xml:space="preserve">реалізації </w:t>
      </w:r>
      <w:proofErr w:type="spellStart"/>
      <w:r w:rsidR="00AC6770" w:rsidRPr="00DC48A5">
        <w:rPr>
          <w:sz w:val="28"/>
          <w:szCs w:val="28"/>
          <w:lang w:val="uk-UA"/>
        </w:rPr>
        <w:t>проєкту</w:t>
      </w:r>
      <w:proofErr w:type="spellEnd"/>
      <w:r w:rsidR="00AC6770" w:rsidRPr="00DC48A5">
        <w:rPr>
          <w:sz w:val="28"/>
          <w:szCs w:val="28"/>
          <w:lang w:val="uk-UA"/>
        </w:rPr>
        <w:t xml:space="preserve"> </w:t>
      </w:r>
      <w:r w:rsidR="00DC48A5" w:rsidRPr="00A81CA3">
        <w:rPr>
          <w:sz w:val="28"/>
          <w:szCs w:val="28"/>
          <w:lang w:val="uk-UA"/>
        </w:rPr>
        <w:t>Закону України «Про внесення змін до Закону України «Про судоустрій і статус суддів» у зв’язку з прийняттям Закону України «Про запобігання корупції»</w:t>
      </w:r>
    </w:p>
    <w:p w:rsidR="006A1B51" w:rsidRPr="006A1B51" w:rsidRDefault="006A1B51" w:rsidP="00DC48A5">
      <w:pPr>
        <w:widowControl w:val="0"/>
        <w:suppressAutoHyphens/>
        <w:spacing w:after="0" w:line="240" w:lineRule="auto"/>
        <w:jc w:val="center"/>
        <w:rPr>
          <w:rFonts w:ascii="Times New Roman" w:hAnsi="Times New Roman" w:cs="Times New Roman"/>
          <w:sz w:val="28"/>
          <w:szCs w:val="28"/>
        </w:rPr>
      </w:pPr>
    </w:p>
    <w:p w:rsidR="00C5790A" w:rsidRPr="00C5790A" w:rsidRDefault="00C5790A" w:rsidP="00C5790A">
      <w:pPr>
        <w:spacing w:after="0" w:line="240" w:lineRule="auto"/>
        <w:ind w:firstLine="426"/>
        <w:jc w:val="both"/>
        <w:rPr>
          <w:rFonts w:ascii="Times New Roman" w:eastAsia="Times New Roman" w:hAnsi="Times New Roman" w:cs="Times New Roman"/>
          <w:sz w:val="28"/>
          <w:szCs w:val="28"/>
          <w:lang w:eastAsia="uk-UA"/>
        </w:rPr>
      </w:pPr>
      <w:r w:rsidRPr="00C5790A">
        <w:rPr>
          <w:rFonts w:ascii="Times New Roman" w:eastAsia="Times New Roman" w:hAnsi="Times New Roman" w:cs="Times New Roman"/>
          <w:sz w:val="28"/>
          <w:szCs w:val="28"/>
          <w:lang w:eastAsia="uk-UA"/>
        </w:rPr>
        <w:t xml:space="preserve">На сьогодні положеннями Закону </w:t>
      </w:r>
      <w:r w:rsidR="00843F2E" w:rsidRPr="00843F2E">
        <w:rPr>
          <w:rFonts w:ascii="Times New Roman" w:eastAsia="Times New Roman" w:hAnsi="Times New Roman" w:cs="Times New Roman"/>
          <w:sz w:val="28"/>
          <w:szCs w:val="28"/>
          <w:lang w:eastAsia="uk-UA"/>
        </w:rPr>
        <w:t>України «Про судоустрій і статус суддів» (далі – Закон)</w:t>
      </w:r>
      <w:r w:rsidR="00843F2E">
        <w:rPr>
          <w:rFonts w:ascii="Times New Roman" w:eastAsia="Times New Roman" w:hAnsi="Times New Roman" w:cs="Times New Roman"/>
          <w:sz w:val="28"/>
          <w:szCs w:val="28"/>
          <w:lang w:eastAsia="uk-UA"/>
        </w:rPr>
        <w:t xml:space="preserve"> </w:t>
      </w:r>
      <w:r w:rsidRPr="00C5790A">
        <w:rPr>
          <w:rFonts w:ascii="Times New Roman" w:eastAsia="Times New Roman" w:hAnsi="Times New Roman" w:cs="Times New Roman"/>
          <w:sz w:val="28"/>
          <w:szCs w:val="28"/>
          <w:lang w:eastAsia="uk-UA"/>
        </w:rPr>
        <w:t>визначено правові засади організації судової влади та здійснення правосуддя в Україні.</w:t>
      </w:r>
    </w:p>
    <w:p w:rsidR="00C5790A" w:rsidRPr="00C5790A" w:rsidRDefault="00C5790A" w:rsidP="00C5790A">
      <w:pPr>
        <w:spacing w:after="0" w:line="240" w:lineRule="auto"/>
        <w:ind w:firstLine="426"/>
        <w:jc w:val="both"/>
        <w:rPr>
          <w:rFonts w:ascii="Times New Roman" w:eastAsia="Times New Roman" w:hAnsi="Times New Roman" w:cs="Times New Roman"/>
          <w:sz w:val="28"/>
          <w:szCs w:val="28"/>
          <w:lang w:eastAsia="uk-UA"/>
        </w:rPr>
      </w:pPr>
      <w:r w:rsidRPr="00C5790A">
        <w:rPr>
          <w:rFonts w:ascii="Times New Roman" w:eastAsia="Times New Roman" w:hAnsi="Times New Roman" w:cs="Times New Roman"/>
          <w:sz w:val="28"/>
          <w:szCs w:val="28"/>
          <w:lang w:eastAsia="uk-UA"/>
        </w:rPr>
        <w:t>Зокрема, Законом врегульовано питання вимог до присяжного, кандидатів на посаду судді, порядку добору та призначення на посаду судді, порядку проведення добору кандидатів на посаду судді, етапів кваліфікаційного оцінювання, діяльності Громадської ради доброчесності, порядку формування Вищої кваліфікаційної комісії суддів України, визначення прав та обов’язків судді, підстав дисциплінарної відповідальності судді.</w:t>
      </w:r>
    </w:p>
    <w:p w:rsidR="00C5790A" w:rsidRPr="00C5790A" w:rsidRDefault="00C5790A" w:rsidP="00C5790A">
      <w:pPr>
        <w:spacing w:after="0" w:line="240" w:lineRule="auto"/>
        <w:ind w:firstLine="426"/>
        <w:jc w:val="both"/>
        <w:rPr>
          <w:rFonts w:ascii="Times New Roman" w:eastAsia="Times New Roman" w:hAnsi="Times New Roman" w:cs="Times New Roman"/>
          <w:sz w:val="28"/>
          <w:szCs w:val="28"/>
          <w:lang w:eastAsia="uk-UA"/>
        </w:rPr>
      </w:pPr>
      <w:r w:rsidRPr="00C5790A">
        <w:rPr>
          <w:rFonts w:ascii="Times New Roman" w:eastAsia="Times New Roman" w:hAnsi="Times New Roman" w:cs="Times New Roman"/>
          <w:sz w:val="28"/>
          <w:szCs w:val="28"/>
          <w:lang w:eastAsia="uk-UA"/>
        </w:rPr>
        <w:t>Проте положення Закону не містять чіткої вимоги щодо проведення спеціальної перевірки у випадках та порядку, встановлених Законом України «Про запобігання корупції», при вирішенні питання призначення кандидатів на посаду судді, кандидатів у члени Вищої кваліфікаційної комісії суддів України, а також не передбачають необхідності здійснювати повідомлення про працюючих близьких осіб керівництву органу, на посаду в якому вони претендують.</w:t>
      </w:r>
    </w:p>
    <w:p w:rsidR="00E7160B" w:rsidRDefault="00C5790A" w:rsidP="00E079A7">
      <w:pPr>
        <w:spacing w:after="0" w:line="240" w:lineRule="auto"/>
        <w:ind w:firstLine="426"/>
        <w:jc w:val="both"/>
        <w:rPr>
          <w:rFonts w:ascii="Times New Roman" w:eastAsia="Times New Roman" w:hAnsi="Times New Roman" w:cs="Times New Roman"/>
          <w:sz w:val="28"/>
          <w:szCs w:val="28"/>
          <w:lang w:eastAsia="uk-UA"/>
        </w:rPr>
      </w:pPr>
      <w:r w:rsidRPr="00C5790A">
        <w:rPr>
          <w:rFonts w:ascii="Times New Roman" w:eastAsia="Times New Roman" w:hAnsi="Times New Roman" w:cs="Times New Roman"/>
          <w:sz w:val="28"/>
          <w:szCs w:val="28"/>
          <w:lang w:eastAsia="uk-UA"/>
        </w:rPr>
        <w:t xml:space="preserve">Крім того потребує приведення у відповідність до положень Закону України «Про запобігання корупції» понятійний апарат Закону. </w:t>
      </w:r>
    </w:p>
    <w:p w:rsidR="00E079A7" w:rsidRPr="00C5790A" w:rsidRDefault="00E079A7" w:rsidP="00E079A7">
      <w:pPr>
        <w:spacing w:after="0" w:line="240" w:lineRule="auto"/>
        <w:ind w:firstLine="426"/>
        <w:jc w:val="both"/>
        <w:rPr>
          <w:rFonts w:ascii="Times New Roman" w:eastAsia="Times New Roman" w:hAnsi="Times New Roman" w:cs="Times New Roman"/>
          <w:sz w:val="28"/>
          <w:szCs w:val="28"/>
          <w:lang w:eastAsia="uk-UA"/>
        </w:rPr>
      </w:pPr>
    </w:p>
    <w:tbl>
      <w:tblPr>
        <w:tblStyle w:val="a3"/>
        <w:tblW w:w="0" w:type="auto"/>
        <w:tblLook w:val="04A0"/>
      </w:tblPr>
      <w:tblGrid>
        <w:gridCol w:w="2392"/>
        <w:gridCol w:w="2393"/>
        <w:gridCol w:w="2628"/>
        <w:gridCol w:w="3332"/>
        <w:gridCol w:w="3969"/>
      </w:tblGrid>
      <w:tr w:rsidR="006A1B51" w:rsidTr="0089625A">
        <w:trPr>
          <w:trHeight w:val="968"/>
        </w:trPr>
        <w:tc>
          <w:tcPr>
            <w:tcW w:w="2392" w:type="dxa"/>
            <w:vMerge w:val="restart"/>
          </w:tcPr>
          <w:p w:rsidR="006A1B51" w:rsidRPr="00B55927" w:rsidRDefault="006A1B51" w:rsidP="002C4140">
            <w:pPr>
              <w:jc w:val="center"/>
              <w:rPr>
                <w:rFonts w:ascii="Times New Roman" w:hAnsi="Times New Roman" w:cs="Times New Roman"/>
                <w:sz w:val="27"/>
                <w:szCs w:val="27"/>
              </w:rPr>
            </w:pPr>
            <w:r w:rsidRPr="00B55927">
              <w:rPr>
                <w:rFonts w:ascii="Times New Roman" w:hAnsi="Times New Roman" w:cs="Times New Roman"/>
                <w:sz w:val="27"/>
                <w:szCs w:val="27"/>
              </w:rPr>
              <w:t>Заінтересована сторона</w:t>
            </w:r>
          </w:p>
          <w:p w:rsidR="006A1B51" w:rsidRPr="00B55927" w:rsidRDefault="006A1B51" w:rsidP="006A1B51">
            <w:pPr>
              <w:rPr>
                <w:rFonts w:ascii="Times New Roman" w:hAnsi="Times New Roman" w:cs="Times New Roman"/>
                <w:sz w:val="27"/>
                <w:szCs w:val="27"/>
              </w:rPr>
            </w:pPr>
          </w:p>
        </w:tc>
        <w:tc>
          <w:tcPr>
            <w:tcW w:w="2393" w:type="dxa"/>
            <w:vMerge w:val="restart"/>
          </w:tcPr>
          <w:p w:rsidR="006A1B51" w:rsidRPr="00B55927" w:rsidRDefault="006A1B51" w:rsidP="002C4140">
            <w:pPr>
              <w:jc w:val="center"/>
              <w:rPr>
                <w:rFonts w:ascii="Times New Roman" w:hAnsi="Times New Roman" w:cs="Times New Roman"/>
                <w:sz w:val="27"/>
                <w:szCs w:val="27"/>
              </w:rPr>
            </w:pPr>
            <w:r w:rsidRPr="00B55927">
              <w:rPr>
                <w:rFonts w:ascii="Times New Roman" w:hAnsi="Times New Roman" w:cs="Times New Roman"/>
                <w:sz w:val="27"/>
                <w:szCs w:val="27"/>
              </w:rPr>
              <w:t>Ключовий інтерес</w:t>
            </w:r>
          </w:p>
          <w:p w:rsidR="006A1B51" w:rsidRPr="00B55927" w:rsidRDefault="006A1B51" w:rsidP="006A1B51">
            <w:pPr>
              <w:rPr>
                <w:rFonts w:ascii="Times New Roman" w:hAnsi="Times New Roman" w:cs="Times New Roman"/>
                <w:sz w:val="27"/>
                <w:szCs w:val="27"/>
              </w:rPr>
            </w:pPr>
          </w:p>
        </w:tc>
        <w:tc>
          <w:tcPr>
            <w:tcW w:w="5960" w:type="dxa"/>
            <w:gridSpan w:val="2"/>
          </w:tcPr>
          <w:p w:rsidR="006A1B51" w:rsidRPr="00B55927" w:rsidRDefault="006A1B51" w:rsidP="002C4140">
            <w:pPr>
              <w:jc w:val="center"/>
              <w:rPr>
                <w:rFonts w:ascii="Times New Roman" w:hAnsi="Times New Roman" w:cs="Times New Roman"/>
                <w:sz w:val="27"/>
                <w:szCs w:val="27"/>
              </w:rPr>
            </w:pPr>
            <w:r w:rsidRPr="00B55927">
              <w:rPr>
                <w:rFonts w:ascii="Times New Roman" w:hAnsi="Times New Roman" w:cs="Times New Roman"/>
                <w:sz w:val="27"/>
                <w:szCs w:val="27"/>
              </w:rPr>
              <w:t>Очікуваний (позитивний чи негативний) вплив на ключовий інтерес із зазначенням передбачуваної динаміки змін основних показників</w:t>
            </w:r>
          </w:p>
          <w:p w:rsidR="006A1B51" w:rsidRPr="00B55927" w:rsidRDefault="006A1B51" w:rsidP="002C4140">
            <w:pPr>
              <w:jc w:val="center"/>
              <w:rPr>
                <w:rFonts w:ascii="Times New Roman" w:hAnsi="Times New Roman" w:cs="Times New Roman"/>
                <w:sz w:val="27"/>
                <w:szCs w:val="27"/>
              </w:rPr>
            </w:pPr>
            <w:r w:rsidRPr="00B55927">
              <w:rPr>
                <w:rFonts w:ascii="Times New Roman" w:hAnsi="Times New Roman" w:cs="Times New Roman"/>
                <w:sz w:val="27"/>
                <w:szCs w:val="27"/>
              </w:rPr>
              <w:t>(у числовому або якісному вимірі)</w:t>
            </w:r>
          </w:p>
        </w:tc>
        <w:tc>
          <w:tcPr>
            <w:tcW w:w="3969" w:type="dxa"/>
            <w:vMerge w:val="restart"/>
          </w:tcPr>
          <w:p w:rsidR="006A1B51" w:rsidRPr="00B55927" w:rsidRDefault="006A1B51" w:rsidP="002C4140">
            <w:pPr>
              <w:jc w:val="center"/>
              <w:rPr>
                <w:rFonts w:ascii="Times New Roman" w:hAnsi="Times New Roman" w:cs="Times New Roman"/>
                <w:sz w:val="27"/>
                <w:szCs w:val="27"/>
              </w:rPr>
            </w:pPr>
            <w:r w:rsidRPr="00B55927">
              <w:rPr>
                <w:rFonts w:ascii="Times New Roman" w:hAnsi="Times New Roman" w:cs="Times New Roman"/>
                <w:sz w:val="27"/>
                <w:szCs w:val="27"/>
              </w:rPr>
              <w:t>Пояснення (чому саме реалізація акта призведе до очікуваного впливу)</w:t>
            </w:r>
          </w:p>
          <w:p w:rsidR="006A1B51" w:rsidRPr="00B55927" w:rsidRDefault="006A1B51" w:rsidP="006A1B51">
            <w:pPr>
              <w:rPr>
                <w:rFonts w:ascii="Times New Roman" w:hAnsi="Times New Roman" w:cs="Times New Roman"/>
                <w:sz w:val="27"/>
                <w:szCs w:val="27"/>
              </w:rPr>
            </w:pPr>
          </w:p>
        </w:tc>
      </w:tr>
      <w:tr w:rsidR="006A1B51" w:rsidTr="0089625A">
        <w:trPr>
          <w:trHeight w:val="967"/>
        </w:trPr>
        <w:tc>
          <w:tcPr>
            <w:tcW w:w="2392" w:type="dxa"/>
            <w:vMerge/>
          </w:tcPr>
          <w:p w:rsidR="006A1B51" w:rsidRPr="00B55927" w:rsidRDefault="006A1B51" w:rsidP="006A1B51">
            <w:pPr>
              <w:rPr>
                <w:rFonts w:ascii="Times New Roman" w:hAnsi="Times New Roman" w:cs="Times New Roman"/>
                <w:sz w:val="27"/>
                <w:szCs w:val="27"/>
              </w:rPr>
            </w:pPr>
          </w:p>
        </w:tc>
        <w:tc>
          <w:tcPr>
            <w:tcW w:w="2393" w:type="dxa"/>
            <w:vMerge/>
          </w:tcPr>
          <w:p w:rsidR="006A1B51" w:rsidRPr="00B55927" w:rsidRDefault="006A1B51" w:rsidP="006A1B51">
            <w:pPr>
              <w:rPr>
                <w:rFonts w:ascii="Times New Roman" w:hAnsi="Times New Roman" w:cs="Times New Roman"/>
                <w:sz w:val="27"/>
                <w:szCs w:val="27"/>
              </w:rPr>
            </w:pPr>
          </w:p>
        </w:tc>
        <w:tc>
          <w:tcPr>
            <w:tcW w:w="2628" w:type="dxa"/>
          </w:tcPr>
          <w:p w:rsidR="006A1B51" w:rsidRPr="00B55927" w:rsidRDefault="006A1B51" w:rsidP="006A1B51">
            <w:pPr>
              <w:rPr>
                <w:rFonts w:ascii="Times New Roman" w:hAnsi="Times New Roman" w:cs="Times New Roman"/>
                <w:sz w:val="27"/>
                <w:szCs w:val="27"/>
              </w:rPr>
            </w:pPr>
            <w:r w:rsidRPr="00B55927">
              <w:rPr>
                <w:rFonts w:ascii="Times New Roman" w:hAnsi="Times New Roman" w:cs="Times New Roman"/>
                <w:sz w:val="27"/>
                <w:szCs w:val="27"/>
              </w:rPr>
              <w:t>короткостроковий вплив (до року)</w:t>
            </w:r>
          </w:p>
        </w:tc>
        <w:tc>
          <w:tcPr>
            <w:tcW w:w="3332" w:type="dxa"/>
          </w:tcPr>
          <w:p w:rsidR="006A1B51" w:rsidRPr="00B55927" w:rsidRDefault="006A1B51" w:rsidP="006A1B51">
            <w:pPr>
              <w:rPr>
                <w:rFonts w:ascii="Times New Roman" w:hAnsi="Times New Roman" w:cs="Times New Roman"/>
                <w:sz w:val="27"/>
                <w:szCs w:val="27"/>
              </w:rPr>
            </w:pPr>
            <w:r w:rsidRPr="00B55927">
              <w:rPr>
                <w:rFonts w:ascii="Times New Roman" w:hAnsi="Times New Roman" w:cs="Times New Roman"/>
                <w:sz w:val="27"/>
                <w:szCs w:val="27"/>
              </w:rPr>
              <w:t>середньостроковий вплив (більше року)</w:t>
            </w:r>
          </w:p>
        </w:tc>
        <w:tc>
          <w:tcPr>
            <w:tcW w:w="3969" w:type="dxa"/>
            <w:vMerge/>
          </w:tcPr>
          <w:p w:rsidR="006A1B51" w:rsidRPr="00B55927" w:rsidRDefault="006A1B51" w:rsidP="006A1B51">
            <w:pPr>
              <w:rPr>
                <w:rFonts w:ascii="Times New Roman" w:hAnsi="Times New Roman" w:cs="Times New Roman"/>
                <w:sz w:val="27"/>
                <w:szCs w:val="27"/>
              </w:rPr>
            </w:pPr>
          </w:p>
        </w:tc>
      </w:tr>
      <w:tr w:rsidR="00FE17EA" w:rsidTr="0089625A">
        <w:tc>
          <w:tcPr>
            <w:tcW w:w="2392" w:type="dxa"/>
          </w:tcPr>
          <w:p w:rsidR="00FE17EA" w:rsidRPr="00B55927" w:rsidRDefault="00975CE5" w:rsidP="002A7EB4">
            <w:pPr>
              <w:rPr>
                <w:rFonts w:ascii="Times New Roman" w:hAnsi="Times New Roman" w:cs="Times New Roman"/>
                <w:sz w:val="27"/>
                <w:szCs w:val="27"/>
              </w:rPr>
            </w:pPr>
            <w:r>
              <w:rPr>
                <w:rFonts w:ascii="Times New Roman" w:hAnsi="Times New Roman" w:cs="Times New Roman"/>
                <w:sz w:val="27"/>
                <w:szCs w:val="27"/>
              </w:rPr>
              <w:t>Особи, уповноважені на виконання функцій держави</w:t>
            </w:r>
          </w:p>
        </w:tc>
        <w:tc>
          <w:tcPr>
            <w:tcW w:w="2393" w:type="dxa"/>
          </w:tcPr>
          <w:p w:rsidR="00274ADB" w:rsidRPr="00344CC1" w:rsidRDefault="002A7EB4" w:rsidP="00274ADB">
            <w:pPr>
              <w:jc w:val="both"/>
              <w:rPr>
                <w:rFonts w:ascii="Times New Roman" w:hAnsi="Times New Roman" w:cs="Times New Roman"/>
                <w:sz w:val="27"/>
                <w:szCs w:val="27"/>
              </w:rPr>
            </w:pPr>
            <w:r w:rsidRPr="005E2368">
              <w:rPr>
                <w:rFonts w:ascii="Times New Roman" w:hAnsi="Times New Roman" w:cs="Times New Roman"/>
                <w:sz w:val="27"/>
                <w:szCs w:val="27"/>
              </w:rPr>
              <w:t xml:space="preserve">Забезпечення </w:t>
            </w:r>
            <w:r w:rsidR="00A42F0E">
              <w:rPr>
                <w:rFonts w:ascii="Times New Roman" w:hAnsi="Times New Roman" w:cs="Times New Roman"/>
                <w:sz w:val="27"/>
                <w:szCs w:val="27"/>
              </w:rPr>
              <w:t xml:space="preserve">інтересів суспільства та держави в цілому </w:t>
            </w:r>
            <w:r w:rsidR="002C4140" w:rsidRPr="005E2368">
              <w:rPr>
                <w:rFonts w:ascii="Times New Roman" w:hAnsi="Times New Roman" w:cs="Times New Roman"/>
                <w:sz w:val="27"/>
                <w:szCs w:val="27"/>
              </w:rPr>
              <w:t xml:space="preserve">шляхом </w:t>
            </w:r>
            <w:r w:rsidR="00274ADB" w:rsidRPr="005E2368">
              <w:rPr>
                <w:rFonts w:ascii="Times New Roman" w:hAnsi="Times New Roman" w:cs="Times New Roman"/>
                <w:sz w:val="27"/>
                <w:szCs w:val="27"/>
              </w:rPr>
              <w:t xml:space="preserve">виконання вимог Закону України </w:t>
            </w:r>
            <w:r w:rsidR="00274ADB" w:rsidRPr="005E2368">
              <w:rPr>
                <w:rFonts w:ascii="Times New Roman" w:hAnsi="Times New Roman" w:cs="Times New Roman"/>
                <w:sz w:val="27"/>
                <w:szCs w:val="27"/>
              </w:rPr>
              <w:lastRenderedPageBreak/>
              <w:t xml:space="preserve">«Про запобігання корупції» в частині проведення спеціальної перевірки щодо осіб, які претендують на посаду судді, члена Вищої кваліфікаційної комісії суддів України, а також шляхом здійснення повідомлення про працюючих близьких осіб керівництву органу, на </w:t>
            </w:r>
            <w:r w:rsidR="00344CC1">
              <w:rPr>
                <w:rFonts w:ascii="Times New Roman" w:hAnsi="Times New Roman" w:cs="Times New Roman"/>
                <w:sz w:val="27"/>
                <w:szCs w:val="27"/>
              </w:rPr>
              <w:t>посаду в якому вони претендують</w:t>
            </w:r>
          </w:p>
          <w:p w:rsidR="00FE17EA" w:rsidRPr="00057257" w:rsidRDefault="00B77F00" w:rsidP="00274ADB">
            <w:pPr>
              <w:rPr>
                <w:rFonts w:ascii="Times New Roman" w:hAnsi="Times New Roman" w:cs="Times New Roman"/>
                <w:color w:val="FF0000"/>
                <w:sz w:val="27"/>
                <w:szCs w:val="27"/>
              </w:rPr>
            </w:pPr>
            <w:r w:rsidRPr="00057257">
              <w:rPr>
                <w:rFonts w:ascii="Times New Roman" w:hAnsi="Times New Roman" w:cs="Times New Roman"/>
                <w:color w:val="FF0000"/>
                <w:sz w:val="27"/>
                <w:szCs w:val="27"/>
                <w:lang w:eastAsia="ru-RU"/>
              </w:rPr>
              <w:t>.</w:t>
            </w:r>
            <w:r w:rsidR="002C4140" w:rsidRPr="00057257">
              <w:rPr>
                <w:rFonts w:ascii="Times New Roman" w:hAnsi="Times New Roman" w:cs="Times New Roman"/>
                <w:color w:val="FF0000"/>
                <w:sz w:val="27"/>
                <w:szCs w:val="27"/>
              </w:rPr>
              <w:t xml:space="preserve"> </w:t>
            </w:r>
          </w:p>
        </w:tc>
        <w:tc>
          <w:tcPr>
            <w:tcW w:w="2628" w:type="dxa"/>
          </w:tcPr>
          <w:p w:rsidR="00FE17EA" w:rsidRPr="00B55927" w:rsidRDefault="00FE17EA" w:rsidP="00FE17EA">
            <w:pPr>
              <w:jc w:val="center"/>
              <w:rPr>
                <w:rFonts w:ascii="Times New Roman" w:hAnsi="Times New Roman" w:cs="Times New Roman"/>
                <w:sz w:val="27"/>
                <w:szCs w:val="27"/>
              </w:rPr>
            </w:pPr>
            <w:r w:rsidRPr="00B55927">
              <w:rPr>
                <w:rFonts w:ascii="Times New Roman" w:hAnsi="Times New Roman" w:cs="Times New Roman"/>
                <w:sz w:val="27"/>
                <w:szCs w:val="27"/>
              </w:rPr>
              <w:lastRenderedPageBreak/>
              <w:t>+</w:t>
            </w:r>
          </w:p>
        </w:tc>
        <w:tc>
          <w:tcPr>
            <w:tcW w:w="3332" w:type="dxa"/>
          </w:tcPr>
          <w:p w:rsidR="00FE17EA" w:rsidRPr="00B55927" w:rsidRDefault="00FE17EA" w:rsidP="00FE17EA">
            <w:pPr>
              <w:jc w:val="center"/>
              <w:rPr>
                <w:rFonts w:ascii="Times New Roman" w:hAnsi="Times New Roman" w:cs="Times New Roman"/>
                <w:sz w:val="27"/>
                <w:szCs w:val="27"/>
              </w:rPr>
            </w:pPr>
            <w:r w:rsidRPr="00B55927">
              <w:rPr>
                <w:rFonts w:ascii="Times New Roman" w:hAnsi="Times New Roman" w:cs="Times New Roman"/>
                <w:sz w:val="27"/>
                <w:szCs w:val="27"/>
              </w:rPr>
              <w:t>+</w:t>
            </w:r>
          </w:p>
        </w:tc>
        <w:tc>
          <w:tcPr>
            <w:tcW w:w="3969" w:type="dxa"/>
          </w:tcPr>
          <w:p w:rsidR="00FE17EA" w:rsidRPr="0089625A" w:rsidRDefault="00C50C48" w:rsidP="0089625A">
            <w:pPr>
              <w:jc w:val="both"/>
              <w:rPr>
                <w:rFonts w:ascii="Times New Roman" w:hAnsi="Times New Roman" w:cs="Times New Roman"/>
                <w:sz w:val="27"/>
                <w:szCs w:val="27"/>
              </w:rPr>
            </w:pPr>
            <w:r w:rsidRPr="0089625A">
              <w:rPr>
                <w:rFonts w:ascii="Times New Roman" w:hAnsi="Times New Roman" w:cs="Times New Roman"/>
                <w:sz w:val="27"/>
                <w:szCs w:val="27"/>
              </w:rPr>
              <w:t>Прийняття</w:t>
            </w:r>
            <w:r w:rsidR="004C1F75" w:rsidRPr="0089625A">
              <w:rPr>
                <w:rFonts w:ascii="Times New Roman" w:hAnsi="Times New Roman" w:cs="Times New Roman"/>
                <w:sz w:val="27"/>
                <w:szCs w:val="27"/>
              </w:rPr>
              <w:t xml:space="preserve"> </w:t>
            </w:r>
            <w:proofErr w:type="spellStart"/>
            <w:r w:rsidR="0089625A" w:rsidRPr="0089625A">
              <w:rPr>
                <w:rFonts w:ascii="Times New Roman" w:hAnsi="Times New Roman" w:cs="Times New Roman"/>
                <w:sz w:val="27"/>
                <w:szCs w:val="27"/>
              </w:rPr>
              <w:t>проєкту</w:t>
            </w:r>
            <w:proofErr w:type="spellEnd"/>
            <w:r w:rsidR="0089625A" w:rsidRPr="0089625A">
              <w:rPr>
                <w:rFonts w:ascii="Times New Roman" w:hAnsi="Times New Roman" w:cs="Times New Roman"/>
                <w:sz w:val="27"/>
                <w:szCs w:val="27"/>
              </w:rPr>
              <w:t xml:space="preserve"> </w:t>
            </w:r>
            <w:r w:rsidR="004C1F75" w:rsidRPr="0089625A">
              <w:rPr>
                <w:rFonts w:ascii="Times New Roman" w:hAnsi="Times New Roman" w:cs="Times New Roman"/>
                <w:sz w:val="27"/>
                <w:szCs w:val="27"/>
              </w:rPr>
              <w:t xml:space="preserve">Закону </w:t>
            </w:r>
            <w:r w:rsidR="004241D3" w:rsidRPr="0089625A">
              <w:rPr>
                <w:rFonts w:ascii="Times New Roman" w:hAnsi="Times New Roman" w:cs="Times New Roman"/>
                <w:sz w:val="27"/>
                <w:szCs w:val="27"/>
              </w:rPr>
              <w:t>України «Про внесення змін до Закону України «Про судоустрій і статус суддів» у зв’язку з прийняттям Закону України «Про запобігання корупції»</w:t>
            </w:r>
            <w:r w:rsidR="006747C2" w:rsidRPr="0089625A">
              <w:rPr>
                <w:rFonts w:ascii="Times New Roman" w:hAnsi="Times New Roman" w:cs="Times New Roman"/>
                <w:sz w:val="27"/>
                <w:szCs w:val="27"/>
              </w:rPr>
              <w:t xml:space="preserve"> </w:t>
            </w:r>
            <w:r w:rsidR="0089625A" w:rsidRPr="0089625A">
              <w:rPr>
                <w:rFonts w:ascii="Times New Roman" w:hAnsi="Times New Roman" w:cs="Times New Roman"/>
                <w:sz w:val="27"/>
                <w:szCs w:val="27"/>
              </w:rPr>
              <w:t xml:space="preserve">дозволить внести </w:t>
            </w:r>
            <w:r w:rsidR="0089625A" w:rsidRPr="0089625A">
              <w:rPr>
                <w:rFonts w:ascii="Times New Roman" w:hAnsi="Times New Roman" w:cs="Times New Roman"/>
                <w:sz w:val="27"/>
                <w:szCs w:val="27"/>
              </w:rPr>
              <w:lastRenderedPageBreak/>
              <w:t xml:space="preserve">зміни </w:t>
            </w:r>
            <w:r w:rsidR="004C1F75" w:rsidRPr="0089625A">
              <w:rPr>
                <w:rFonts w:ascii="Times New Roman" w:hAnsi="Times New Roman" w:cs="Times New Roman"/>
                <w:sz w:val="27"/>
                <w:szCs w:val="27"/>
              </w:rPr>
              <w:t>до статей 54, 56, 65, 69, 70, 72, 84, 85, 87, 94, 95, 96, 97, 100, 106, 109 Закону в частині, зокрема, вимоги щодо проведення спеціальної перевірки у випадках та порядку, встановлених Законом України «Про запобігання корупції», при вирішенні питання призначення кандидатів на посаду судді, кандидатів у члени Вищої кваліфікаційної комісії суддів України, а також необхідності здійснювати повідомлення про працюючих близьких осіб керівництву органу, на посаду в якому вони прет</w:t>
            </w:r>
            <w:r w:rsidR="00E079A7">
              <w:rPr>
                <w:rFonts w:ascii="Times New Roman" w:hAnsi="Times New Roman" w:cs="Times New Roman"/>
                <w:sz w:val="27"/>
                <w:szCs w:val="27"/>
              </w:rPr>
              <w:t>ендують</w:t>
            </w:r>
            <w:r w:rsidR="004C1F75" w:rsidRPr="0089625A">
              <w:rPr>
                <w:rFonts w:ascii="Times New Roman" w:hAnsi="Times New Roman" w:cs="Times New Roman"/>
                <w:sz w:val="27"/>
                <w:szCs w:val="27"/>
              </w:rPr>
              <w:t>.</w:t>
            </w:r>
          </w:p>
          <w:p w:rsidR="0089625A" w:rsidRPr="00344CC1" w:rsidRDefault="0089625A" w:rsidP="00D86271">
            <w:pPr>
              <w:ind w:firstLine="426"/>
              <w:jc w:val="both"/>
              <w:rPr>
                <w:rFonts w:ascii="Times New Roman" w:hAnsi="Times New Roman" w:cs="Times New Roman"/>
                <w:sz w:val="27"/>
                <w:szCs w:val="27"/>
              </w:rPr>
            </w:pPr>
            <w:r w:rsidRPr="0089625A">
              <w:rPr>
                <w:rFonts w:ascii="Times New Roman" w:eastAsia="Times New Roman" w:hAnsi="Times New Roman" w:cs="Times New Roman"/>
                <w:sz w:val="27"/>
                <w:szCs w:val="27"/>
                <w:lang w:eastAsia="uk-UA"/>
              </w:rPr>
              <w:t>Такий підхід дасть змогу визначити єдиний порядок застосування антикорупційних механізмів та сприятиме уніфікації термінології, яка застосовується у Законі</w:t>
            </w:r>
          </w:p>
        </w:tc>
      </w:tr>
    </w:tbl>
    <w:p w:rsidR="006A1B51" w:rsidRDefault="006A1B51" w:rsidP="00AD1E71">
      <w:pPr>
        <w:spacing w:after="0" w:line="240" w:lineRule="auto"/>
        <w:rPr>
          <w:rFonts w:ascii="Times New Roman" w:hAnsi="Times New Roman" w:cs="Times New Roman"/>
          <w:sz w:val="28"/>
          <w:szCs w:val="28"/>
        </w:rPr>
      </w:pPr>
    </w:p>
    <w:sectPr w:rsidR="006A1B51" w:rsidSect="00B77F00">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drawingGridHorizontalSpacing w:val="110"/>
  <w:displayHorizontalDrawingGridEvery w:val="2"/>
  <w:characterSpacingControl w:val="doNotCompress"/>
  <w:compat/>
  <w:rsids>
    <w:rsidRoot w:val="006A1B51"/>
    <w:rsid w:val="00057257"/>
    <w:rsid w:val="0007283D"/>
    <w:rsid w:val="00097AB6"/>
    <w:rsid w:val="000B209F"/>
    <w:rsid w:val="000F7246"/>
    <w:rsid w:val="00137DEE"/>
    <w:rsid w:val="00274ADB"/>
    <w:rsid w:val="00284DFC"/>
    <w:rsid w:val="002A7EB4"/>
    <w:rsid w:val="002C4140"/>
    <w:rsid w:val="00344CC1"/>
    <w:rsid w:val="00357952"/>
    <w:rsid w:val="003C1A6A"/>
    <w:rsid w:val="004241D3"/>
    <w:rsid w:val="004C1F75"/>
    <w:rsid w:val="00553231"/>
    <w:rsid w:val="0055337A"/>
    <w:rsid w:val="005E2368"/>
    <w:rsid w:val="006747C2"/>
    <w:rsid w:val="006A1B51"/>
    <w:rsid w:val="006B4A45"/>
    <w:rsid w:val="00736A2B"/>
    <w:rsid w:val="00764BBB"/>
    <w:rsid w:val="00777F19"/>
    <w:rsid w:val="00843F2E"/>
    <w:rsid w:val="0089625A"/>
    <w:rsid w:val="00975CE5"/>
    <w:rsid w:val="009813AD"/>
    <w:rsid w:val="00A42F0E"/>
    <w:rsid w:val="00AC6770"/>
    <w:rsid w:val="00AD1E71"/>
    <w:rsid w:val="00B16755"/>
    <w:rsid w:val="00B3442C"/>
    <w:rsid w:val="00B55927"/>
    <w:rsid w:val="00B77F00"/>
    <w:rsid w:val="00BD5D79"/>
    <w:rsid w:val="00C0498A"/>
    <w:rsid w:val="00C50C48"/>
    <w:rsid w:val="00C5790A"/>
    <w:rsid w:val="00CA700C"/>
    <w:rsid w:val="00CA7D9B"/>
    <w:rsid w:val="00D86271"/>
    <w:rsid w:val="00DB7483"/>
    <w:rsid w:val="00DC48A5"/>
    <w:rsid w:val="00DF1C46"/>
    <w:rsid w:val="00E079A7"/>
    <w:rsid w:val="00E7160B"/>
    <w:rsid w:val="00EC0437"/>
    <w:rsid w:val="00F204E3"/>
    <w:rsid w:val="00FE17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A2B"/>
  </w:style>
  <w:style w:type="paragraph" w:styleId="2">
    <w:name w:val="heading 2"/>
    <w:basedOn w:val="a"/>
    <w:link w:val="20"/>
    <w:uiPriority w:val="99"/>
    <w:qFormat/>
    <w:rsid w:val="00DC48A5"/>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1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55337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9"/>
    <w:rsid w:val="00DC48A5"/>
    <w:rPr>
      <w:rFonts w:ascii="Times New Roman" w:eastAsia="Times New Roman" w:hAnsi="Times New Roman" w:cs="Times New Roman"/>
      <w:b/>
      <w:bCs/>
      <w:sz w:val="36"/>
      <w:szCs w:val="3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2FEC5-58AC-4BF8-A3AF-91BEBB506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1887</Words>
  <Characters>1076</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Божок (RMJ-1281 - v.bozhok)</dc:creator>
  <cp:lastModifiedBy>Валентина Божок (RMJ-1281 - v.bozhok)</cp:lastModifiedBy>
  <cp:revision>2</cp:revision>
  <dcterms:created xsi:type="dcterms:W3CDTF">2019-12-10T10:03:00Z</dcterms:created>
  <dcterms:modified xsi:type="dcterms:W3CDTF">2019-12-10T10:03:00Z</dcterms:modified>
</cp:coreProperties>
</file>