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32" w:rsidRPr="005F226A" w:rsidRDefault="00BC2932" w:rsidP="00BC2932">
      <w:pPr>
        <w:spacing w:line="259" w:lineRule="auto"/>
        <w:jc w:val="center"/>
        <w:rPr>
          <w:rFonts w:eastAsia="Calibri"/>
          <w:b/>
          <w:sz w:val="24"/>
          <w:szCs w:val="27"/>
          <w:lang w:eastAsia="en-US"/>
        </w:rPr>
      </w:pPr>
      <w:r w:rsidRPr="005F226A">
        <w:rPr>
          <w:rFonts w:eastAsia="Calibri"/>
          <w:b/>
          <w:sz w:val="24"/>
          <w:szCs w:val="27"/>
          <w:lang w:eastAsia="en-US"/>
        </w:rPr>
        <w:t>ПРОГНОЗ ВПЛИВУ</w:t>
      </w:r>
    </w:p>
    <w:p w:rsidR="005A2D0C" w:rsidRPr="005F226A" w:rsidRDefault="00BC2932" w:rsidP="00C95BA9">
      <w:pPr>
        <w:jc w:val="center"/>
        <w:rPr>
          <w:rFonts w:eastAsia="Calibri"/>
          <w:b/>
          <w:sz w:val="24"/>
          <w:szCs w:val="27"/>
          <w:lang w:eastAsia="en-US"/>
        </w:rPr>
      </w:pPr>
      <w:r w:rsidRPr="005F226A">
        <w:rPr>
          <w:rFonts w:eastAsia="Calibri"/>
          <w:b/>
          <w:sz w:val="24"/>
          <w:szCs w:val="27"/>
          <w:lang w:eastAsia="en-US"/>
        </w:rPr>
        <w:t xml:space="preserve">реалізації </w:t>
      </w:r>
      <w:r w:rsidR="005A2D0C" w:rsidRPr="005F226A">
        <w:rPr>
          <w:rFonts w:eastAsia="Calibri"/>
          <w:b/>
          <w:sz w:val="24"/>
          <w:szCs w:val="27"/>
          <w:lang w:eastAsia="en-US"/>
        </w:rPr>
        <w:t xml:space="preserve">Закону України „Про внесення змін до деяких </w:t>
      </w:r>
      <w:r w:rsidR="00B00B9B">
        <w:rPr>
          <w:rFonts w:eastAsia="Calibri"/>
          <w:b/>
          <w:sz w:val="24"/>
          <w:szCs w:val="27"/>
          <w:lang w:eastAsia="en-US"/>
        </w:rPr>
        <w:t>законодавчих актів</w:t>
      </w:r>
      <w:r w:rsidR="005A2D0C" w:rsidRPr="005F226A">
        <w:rPr>
          <w:rFonts w:eastAsia="Calibri"/>
          <w:b/>
          <w:sz w:val="24"/>
          <w:szCs w:val="27"/>
          <w:lang w:eastAsia="en-US"/>
        </w:rPr>
        <w:t xml:space="preserve"> України </w:t>
      </w:r>
    </w:p>
    <w:p w:rsidR="00BC2932" w:rsidRPr="005F226A" w:rsidRDefault="005A2D0C" w:rsidP="00C95BA9">
      <w:pPr>
        <w:jc w:val="center"/>
        <w:rPr>
          <w:rFonts w:eastAsia="Calibri"/>
          <w:b/>
          <w:sz w:val="24"/>
          <w:szCs w:val="27"/>
          <w:lang w:eastAsia="en-US"/>
        </w:rPr>
      </w:pPr>
      <w:r w:rsidRPr="005F226A">
        <w:rPr>
          <w:rFonts w:eastAsia="Calibri"/>
          <w:b/>
          <w:sz w:val="24"/>
          <w:szCs w:val="27"/>
          <w:lang w:eastAsia="en-US"/>
        </w:rPr>
        <w:t xml:space="preserve">щодо накопичувальної професійної пенсійної </w:t>
      </w:r>
      <w:r w:rsidR="00C17874" w:rsidRPr="005F226A">
        <w:rPr>
          <w:rFonts w:eastAsia="Calibri"/>
          <w:b/>
          <w:sz w:val="24"/>
          <w:szCs w:val="27"/>
          <w:lang w:eastAsia="en-US"/>
        </w:rPr>
        <w:t>системи</w:t>
      </w:r>
      <w:r w:rsidRPr="005F226A">
        <w:rPr>
          <w:rFonts w:eastAsia="Calibri"/>
          <w:b/>
          <w:sz w:val="24"/>
          <w:szCs w:val="27"/>
          <w:lang w:eastAsia="en-US"/>
        </w:rPr>
        <w:t>”</w:t>
      </w:r>
      <w:r w:rsidR="00BC2932" w:rsidRPr="005F226A">
        <w:rPr>
          <w:rFonts w:eastAsia="Calibri"/>
          <w:b/>
          <w:sz w:val="24"/>
          <w:szCs w:val="27"/>
          <w:lang w:eastAsia="en-US"/>
        </w:rPr>
        <w:t xml:space="preserve"> на ключові інтереси заінтересованих сторін</w:t>
      </w:r>
    </w:p>
    <w:p w:rsidR="00775252" w:rsidRPr="005F226A" w:rsidRDefault="00775252" w:rsidP="005A2D0C">
      <w:pPr>
        <w:spacing w:line="259" w:lineRule="auto"/>
        <w:jc w:val="center"/>
        <w:rPr>
          <w:rFonts w:eastAsia="Calibri"/>
          <w:b/>
          <w:sz w:val="18"/>
          <w:lang w:eastAsia="en-US"/>
        </w:rPr>
      </w:pPr>
    </w:p>
    <w:p w:rsidR="00B00B9B" w:rsidRPr="00B92C40" w:rsidRDefault="00B00B9B" w:rsidP="00B00B9B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216" w:lineRule="auto"/>
        <w:ind w:left="0" w:firstLine="426"/>
        <w:jc w:val="both"/>
        <w:rPr>
          <w:b/>
          <w:bCs/>
          <w:sz w:val="22"/>
          <w:szCs w:val="27"/>
          <w:lang w:eastAsia="ru-RU"/>
        </w:rPr>
      </w:pPr>
      <w:r w:rsidRPr="00B92C40">
        <w:rPr>
          <w:b/>
          <w:bCs/>
          <w:sz w:val="22"/>
          <w:szCs w:val="27"/>
          <w:lang w:eastAsia="ru-RU"/>
        </w:rPr>
        <w:t>Суть проекту акта</w:t>
      </w:r>
    </w:p>
    <w:p w:rsidR="00B00B9B" w:rsidRPr="00B92C40" w:rsidRDefault="00B00B9B" w:rsidP="00B00B9B">
      <w:pPr>
        <w:autoSpaceDE w:val="0"/>
        <w:autoSpaceDN w:val="0"/>
        <w:adjustRightInd w:val="0"/>
        <w:spacing w:line="216" w:lineRule="auto"/>
        <w:ind w:firstLine="426"/>
        <w:jc w:val="both"/>
        <w:rPr>
          <w:sz w:val="16"/>
          <w:lang w:eastAsia="ru-RU"/>
        </w:rPr>
      </w:pPr>
      <w:r w:rsidRPr="00B92C40">
        <w:rPr>
          <w:sz w:val="22"/>
          <w:szCs w:val="27"/>
          <w:lang w:eastAsia="ru-RU"/>
        </w:rPr>
        <w:t xml:space="preserve">Проектом акта пропонується запровадити накопичувальну професійну пенсійну систему для окремих категорій осіб віком до 35 років (станом на 1 </w:t>
      </w:r>
      <w:r w:rsidR="005579EB">
        <w:rPr>
          <w:sz w:val="22"/>
          <w:szCs w:val="27"/>
          <w:lang w:val="ru-RU" w:eastAsia="ru-RU"/>
        </w:rPr>
        <w:t>липня</w:t>
      </w:r>
      <w:r w:rsidRPr="00B92C40">
        <w:rPr>
          <w:sz w:val="22"/>
          <w:szCs w:val="27"/>
          <w:lang w:eastAsia="ru-RU"/>
        </w:rPr>
        <w:t xml:space="preserve"> </w:t>
      </w:r>
      <w:r w:rsidR="00263E15" w:rsidRPr="00263E15">
        <w:rPr>
          <w:sz w:val="22"/>
          <w:szCs w:val="27"/>
          <w:lang w:val="ru-RU" w:eastAsia="ru-RU"/>
        </w:rPr>
        <w:t xml:space="preserve">                     </w:t>
      </w:r>
      <w:r w:rsidRPr="00B92C40">
        <w:rPr>
          <w:sz w:val="22"/>
          <w:szCs w:val="27"/>
          <w:lang w:eastAsia="ru-RU"/>
        </w:rPr>
        <w:t>2021 року) з чис</w:t>
      </w:r>
      <w:r>
        <w:rPr>
          <w:sz w:val="22"/>
          <w:szCs w:val="27"/>
          <w:lang w:eastAsia="ru-RU"/>
        </w:rPr>
        <w:t>ла зайнятих на роботах за Списком № 1 і Списком</w:t>
      </w:r>
      <w:r w:rsidRPr="00B92C40">
        <w:rPr>
          <w:sz w:val="22"/>
          <w:szCs w:val="27"/>
          <w:lang w:eastAsia="ru-RU"/>
        </w:rPr>
        <w:t xml:space="preserve"> № 2 та деяких інших категорій осіб, які мають право на пільгове пенсійне забезпечення, замість механізму виплати і доставки пільгових пенсій через відшкодування витрат на такі виплати.</w:t>
      </w:r>
    </w:p>
    <w:p w:rsidR="00B00B9B" w:rsidRDefault="00B00B9B" w:rsidP="00B00B9B">
      <w:pPr>
        <w:pStyle w:val="a4"/>
        <w:numPr>
          <w:ilvl w:val="0"/>
          <w:numId w:val="4"/>
        </w:numPr>
        <w:autoSpaceDE w:val="0"/>
        <w:autoSpaceDN w:val="0"/>
        <w:adjustRightInd w:val="0"/>
        <w:spacing w:before="120" w:line="216" w:lineRule="auto"/>
        <w:ind w:left="0" w:firstLine="425"/>
        <w:jc w:val="both"/>
        <w:rPr>
          <w:b/>
          <w:sz w:val="22"/>
          <w:szCs w:val="27"/>
          <w:lang w:eastAsia="ru-RU"/>
        </w:rPr>
      </w:pPr>
      <w:r>
        <w:rPr>
          <w:b/>
          <w:sz w:val="22"/>
          <w:szCs w:val="27"/>
          <w:lang w:eastAsia="ru-RU"/>
        </w:rPr>
        <w:t>Вплив на ключові інтереси</w:t>
      </w:r>
      <w:r w:rsidRPr="00B92C40">
        <w:rPr>
          <w:b/>
          <w:sz w:val="22"/>
          <w:szCs w:val="27"/>
          <w:lang w:eastAsia="ru-RU"/>
        </w:rPr>
        <w:t xml:space="preserve"> заінтересованих сторін</w:t>
      </w:r>
    </w:p>
    <w:p w:rsidR="00B00B9B" w:rsidRPr="00B92C40" w:rsidRDefault="00B00B9B" w:rsidP="00B00B9B">
      <w:pPr>
        <w:pStyle w:val="a4"/>
        <w:autoSpaceDE w:val="0"/>
        <w:autoSpaceDN w:val="0"/>
        <w:adjustRightInd w:val="0"/>
        <w:spacing w:before="120" w:line="216" w:lineRule="auto"/>
        <w:ind w:left="425"/>
        <w:jc w:val="both"/>
        <w:rPr>
          <w:b/>
          <w:sz w:val="22"/>
          <w:szCs w:val="27"/>
          <w:lang w:eastAsia="ru-RU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807"/>
        <w:gridCol w:w="1936"/>
        <w:gridCol w:w="2203"/>
        <w:gridCol w:w="5103"/>
      </w:tblGrid>
      <w:tr w:rsidR="00B00B9B" w:rsidRPr="00B14BF4" w:rsidTr="006D1ACE">
        <w:trPr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ind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Заінтересована</w:t>
            </w:r>
          </w:p>
          <w:p w:rsidR="00B00B9B" w:rsidRPr="00B14BF4" w:rsidRDefault="00B00B9B" w:rsidP="006D1ACE">
            <w:pPr>
              <w:spacing w:line="276" w:lineRule="auto"/>
              <w:ind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сторона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ind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Ключовий</w:t>
            </w:r>
          </w:p>
          <w:p w:rsidR="00B00B9B" w:rsidRPr="00B14BF4" w:rsidRDefault="00B00B9B" w:rsidP="006D1ACE">
            <w:pPr>
              <w:spacing w:line="276" w:lineRule="auto"/>
              <w:ind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інтерес</w:t>
            </w:r>
          </w:p>
        </w:tc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ind w:right="370"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 (у числовому або якісному вимірі)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ind w:firstLine="22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Пояснення (чому саме реалізація акта призведе до очікуваного впливу)</w:t>
            </w:r>
          </w:p>
        </w:tc>
      </w:tr>
      <w:tr w:rsidR="00B00B9B" w:rsidRPr="00B14BF4" w:rsidTr="006D1ACE">
        <w:trPr>
          <w:trHeight w:val="110"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короткостроковий</w:t>
            </w:r>
          </w:p>
          <w:p w:rsidR="00B00B9B" w:rsidRPr="00B14BF4" w:rsidRDefault="00B00B9B" w:rsidP="006D1AC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вплив (до року)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середньостроковий</w:t>
            </w:r>
          </w:p>
          <w:p w:rsidR="00B00B9B" w:rsidRPr="00B14BF4" w:rsidRDefault="00B00B9B" w:rsidP="006D1AC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вплив (більше року)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00B9B" w:rsidRPr="00B14BF4" w:rsidTr="006D1ACE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Працівники </w:t>
            </w:r>
            <w:r>
              <w:rPr>
                <w:rFonts w:eastAsia="Calibri"/>
                <w:lang w:eastAsia="en-US"/>
              </w:rPr>
              <w:t xml:space="preserve">віком </w:t>
            </w:r>
            <w:r w:rsidRPr="00B14BF4">
              <w:rPr>
                <w:rFonts w:eastAsia="Calibri"/>
                <w:lang w:eastAsia="en-US"/>
              </w:rPr>
              <w:t xml:space="preserve">до 35 років, зайняті на виробництвах, роботах, посадах, що дають право на призначення пенсії за віком на пільгових умовах (понад </w:t>
            </w:r>
            <w:r>
              <w:rPr>
                <w:rFonts w:eastAsia="Calibri"/>
                <w:lang w:eastAsia="en-US"/>
              </w:rPr>
              <w:t xml:space="preserve">                               </w:t>
            </w:r>
            <w:r w:rsidRPr="00B14BF4">
              <w:rPr>
                <w:rFonts w:eastAsia="Calibri"/>
                <w:lang w:eastAsia="en-US"/>
              </w:rPr>
              <w:t>135 тис. осіб)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t>Отримання пенсій, які призначаються до досягнення загальновстановленого пенсійного  віку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 накопичувальній системі пенсійного забезпечення </w:t>
            </w:r>
            <w:r w:rsidRPr="00B14BF4">
              <w:rPr>
                <w:rFonts w:eastAsia="Calibri"/>
                <w:lang w:eastAsia="en-US"/>
              </w:rPr>
              <w:t xml:space="preserve"> майбутні пенсійні виплати працівникам будуть забезпечені пенсійними активами, </w:t>
            </w:r>
            <w:r>
              <w:rPr>
                <w:rFonts w:eastAsia="Calibri"/>
                <w:lang w:eastAsia="en-US"/>
              </w:rPr>
              <w:t xml:space="preserve">відокремленими </w:t>
            </w:r>
            <w:r w:rsidRPr="00B14BF4">
              <w:rPr>
                <w:rFonts w:eastAsia="Calibri"/>
                <w:lang w:eastAsia="en-US"/>
              </w:rPr>
              <w:t xml:space="preserve">від </w:t>
            </w:r>
            <w:r>
              <w:rPr>
                <w:rFonts w:eastAsia="Calibri"/>
                <w:lang w:eastAsia="en-US"/>
              </w:rPr>
              <w:t xml:space="preserve">активів для забезпечення </w:t>
            </w:r>
            <w:r w:rsidRPr="00B14BF4">
              <w:rPr>
                <w:rFonts w:eastAsia="Calibri"/>
                <w:lang w:eastAsia="en-US"/>
              </w:rPr>
              <w:t xml:space="preserve">діяльності підприємств. </w:t>
            </w:r>
            <w:r>
              <w:rPr>
                <w:rFonts w:eastAsia="Calibri"/>
                <w:lang w:eastAsia="en-US"/>
              </w:rPr>
              <w:t>Також буде забезпечено можливість успадкування таких коштів</w:t>
            </w:r>
          </w:p>
        </w:tc>
      </w:tr>
      <w:tr w:rsidR="00B00B9B" w:rsidRPr="00B14BF4" w:rsidTr="006D1ACE">
        <w:trPr>
          <w:trHeight w:val="761"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Роботодавці з</w:t>
            </w:r>
            <w:r w:rsidRPr="00B14BF4">
              <w:rPr>
                <w:rFonts w:eastAsia="Calibri"/>
                <w:lang w:eastAsia="en-US"/>
              </w:rPr>
              <w:t>аз</w:t>
            </w:r>
            <w:r>
              <w:rPr>
                <w:rFonts w:eastAsia="Calibri"/>
                <w:lang w:eastAsia="en-US"/>
              </w:rPr>
              <w:t>начених</w:t>
            </w:r>
            <w:r w:rsidRPr="00B14BF4">
              <w:rPr>
                <w:rFonts w:eastAsia="Calibri"/>
                <w:lang w:eastAsia="en-US"/>
              </w:rPr>
              <w:t xml:space="preserve"> категорій працівників та </w:t>
            </w:r>
            <w:r>
              <w:rPr>
                <w:rFonts w:eastAsia="Calibri"/>
                <w:lang w:eastAsia="en-US"/>
              </w:rPr>
              <w:t xml:space="preserve">роботодавці, </w:t>
            </w:r>
            <w:r w:rsidRPr="00B14BF4">
              <w:rPr>
                <w:rFonts w:eastAsia="Calibri"/>
                <w:lang w:eastAsia="en-US"/>
              </w:rPr>
              <w:t xml:space="preserve">які здійснюють відшкодування витрат на виплату та доставку </w:t>
            </w:r>
            <w:r>
              <w:rPr>
                <w:rFonts w:eastAsia="Calibri"/>
                <w:lang w:eastAsia="en-US"/>
              </w:rPr>
              <w:t>пільгових пенсій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Зменшення витрат на відшкодування пільгових пенсій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B14BF4">
              <w:rPr>
                <w:rFonts w:eastAsia="Calibri"/>
                <w:lang w:eastAsia="en-US"/>
              </w:rPr>
              <w:t xml:space="preserve">а рахунок поліпшення умов праці </w:t>
            </w:r>
            <w:r>
              <w:rPr>
                <w:rFonts w:eastAsia="Calibri"/>
                <w:lang w:eastAsia="en-US"/>
              </w:rPr>
              <w:t xml:space="preserve">(зменшення чисельності працівників) зменшуватимуться </w:t>
            </w:r>
            <w:r w:rsidRPr="00B14BF4">
              <w:rPr>
                <w:rFonts w:eastAsia="Calibri"/>
                <w:lang w:eastAsia="en-US"/>
              </w:rPr>
              <w:t>витрат</w:t>
            </w:r>
            <w:r>
              <w:rPr>
                <w:rFonts w:eastAsia="Calibri"/>
                <w:lang w:eastAsia="en-US"/>
              </w:rPr>
              <w:t xml:space="preserve">и </w:t>
            </w:r>
            <w:r w:rsidRPr="00B14BF4">
              <w:rPr>
                <w:rFonts w:eastAsia="Calibri"/>
                <w:lang w:eastAsia="en-US"/>
              </w:rPr>
              <w:t>на відшкодування пільгових пенсій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B00B9B" w:rsidRPr="00B14BF4" w:rsidTr="006D1ACE">
        <w:trPr>
          <w:trHeight w:val="205"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B9B" w:rsidRPr="00B14BF4" w:rsidRDefault="00B00B9B" w:rsidP="006D1AC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Прогнозованість витрат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Страхові внески сплачуватимуться за фактично працюючих працівників.</w:t>
            </w:r>
          </w:p>
        </w:tc>
      </w:tr>
      <w:tr w:rsidR="00B00B9B" w:rsidRPr="00B14BF4" w:rsidTr="006D1ACE">
        <w:trPr>
          <w:trHeight w:val="20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Роботодавці зазначених</w:t>
            </w:r>
            <w:r w:rsidRPr="00B14BF4">
              <w:rPr>
                <w:rFonts w:eastAsia="Calibri"/>
                <w:lang w:eastAsia="en-US"/>
              </w:rPr>
              <w:t xml:space="preserve"> категорій працівників</w:t>
            </w:r>
            <w:r>
              <w:rPr>
                <w:rFonts w:eastAsia="Calibri"/>
                <w:lang w:eastAsia="en-US"/>
              </w:rPr>
              <w:t>,</w:t>
            </w:r>
            <w:r w:rsidRPr="00B14BF4">
              <w:rPr>
                <w:rFonts w:eastAsia="Calibri"/>
                <w:lang w:eastAsia="en-US"/>
              </w:rPr>
              <w:t xml:space="preserve"> у яких відсутні пенсіонери, яким відшкодовується пенсія  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Зменшення витрат, пов’язаних з оплатою праці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Негативний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Негативний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За відсутності витрат на відшкодування пільгових пенсій витрати зростуть, оскільки страхові внески сплачуватимуться за фактично працюючих працівників</w:t>
            </w:r>
          </w:p>
        </w:tc>
      </w:tr>
      <w:tr w:rsidR="00B00B9B" w:rsidRPr="00B14BF4" w:rsidTr="006D1ACE">
        <w:trPr>
          <w:trHeight w:val="28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Суб’єкти ринку недержавного пенсійного забезпечення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Нарощ</w:t>
            </w:r>
            <w:r>
              <w:rPr>
                <w:rFonts w:eastAsia="Calibri"/>
                <w:lang w:eastAsia="en-US"/>
              </w:rPr>
              <w:t>ування</w:t>
            </w:r>
            <w:r w:rsidRPr="00B14BF4">
              <w:rPr>
                <w:rFonts w:eastAsia="Calibri"/>
                <w:lang w:eastAsia="en-US"/>
              </w:rPr>
              <w:t xml:space="preserve"> клієнтської бази, отримання доходу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Отримання доходу від надання послуг у цій системі</w:t>
            </w:r>
            <w:r w:rsidRPr="00B14BF4">
              <w:rPr>
                <w:rFonts w:eastAsia="Calibri"/>
                <w:lang w:eastAsia="en-US"/>
              </w:rPr>
              <w:t>. Очікуваний обсяг пенсійних активів з</w:t>
            </w:r>
            <w:r>
              <w:rPr>
                <w:rFonts w:eastAsia="Calibri"/>
                <w:lang w:eastAsia="en-US"/>
              </w:rPr>
              <w:t>а наступні 5 років може сягнути 15 млрд гривень.</w:t>
            </w:r>
          </w:p>
        </w:tc>
      </w:tr>
      <w:tr w:rsidR="00B00B9B" w:rsidRPr="00B14BF4" w:rsidTr="006D1ACE">
        <w:trPr>
          <w:trHeight w:val="28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Роботодавці (бізнес)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Надходження інвестицій, залучення ресурсу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 xml:space="preserve">Позитивний </w:t>
            </w:r>
          </w:p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9B" w:rsidRPr="00B14BF4" w:rsidRDefault="00B00B9B" w:rsidP="006D1AC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14BF4">
              <w:rPr>
                <w:rFonts w:eastAsia="Calibri"/>
                <w:lang w:eastAsia="en-US"/>
              </w:rPr>
              <w:t>Очікуваний обсяг пенсійних активів за наступн</w:t>
            </w:r>
            <w:r>
              <w:rPr>
                <w:rFonts w:eastAsia="Calibri"/>
                <w:lang w:eastAsia="en-US"/>
              </w:rPr>
              <w:t>і 5 років може сягнути 15 млрд гривень</w:t>
            </w:r>
            <w:r w:rsidRPr="00B14BF4">
              <w:rPr>
                <w:rFonts w:eastAsia="Calibri"/>
                <w:lang w:eastAsia="en-US"/>
              </w:rPr>
              <w:t>. Такий ресурс мож</w:t>
            </w:r>
            <w:r>
              <w:rPr>
                <w:rFonts w:eastAsia="Calibri"/>
                <w:lang w:eastAsia="en-US"/>
              </w:rPr>
              <w:t>е</w:t>
            </w:r>
            <w:r w:rsidRPr="00B14BF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спрямовуватись</w:t>
            </w:r>
            <w:r w:rsidRPr="00B14BF4">
              <w:rPr>
                <w:rFonts w:eastAsia="Calibri"/>
                <w:lang w:eastAsia="en-US"/>
              </w:rPr>
              <w:t xml:space="preserve"> на підтримку пріоритетних галузей економіки</w:t>
            </w:r>
          </w:p>
        </w:tc>
      </w:tr>
    </w:tbl>
    <w:p w:rsidR="00BC2932" w:rsidRPr="00724258" w:rsidRDefault="00BC2932" w:rsidP="00B00B9B">
      <w:pPr>
        <w:spacing w:line="259" w:lineRule="auto"/>
        <w:jc w:val="both"/>
        <w:rPr>
          <w:rFonts w:eastAsia="Calibri"/>
          <w:b/>
          <w:sz w:val="28"/>
          <w:szCs w:val="28"/>
          <w:lang w:eastAsia="en-US"/>
        </w:rPr>
      </w:pPr>
    </w:p>
    <w:sectPr w:rsidR="00BC2932" w:rsidRPr="00724258" w:rsidSect="00B00B9B">
      <w:pgSz w:w="16838" w:h="11906" w:orient="landscape"/>
      <w:pgMar w:top="851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F8D"/>
    <w:multiLevelType w:val="hybridMultilevel"/>
    <w:tmpl w:val="EAFA0046"/>
    <w:lvl w:ilvl="0" w:tplc="4A5C16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1708D"/>
    <w:multiLevelType w:val="hybridMultilevel"/>
    <w:tmpl w:val="57DC25AA"/>
    <w:lvl w:ilvl="0" w:tplc="2C8E8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4273BE"/>
    <w:multiLevelType w:val="hybridMultilevel"/>
    <w:tmpl w:val="F4AC1F9A"/>
    <w:lvl w:ilvl="0" w:tplc="D47AC2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52"/>
    <w:rsid w:val="000431E6"/>
    <w:rsid w:val="00051F66"/>
    <w:rsid w:val="000558FC"/>
    <w:rsid w:val="00076346"/>
    <w:rsid w:val="0009754B"/>
    <w:rsid w:val="001425C5"/>
    <w:rsid w:val="0015119E"/>
    <w:rsid w:val="00161CAA"/>
    <w:rsid w:val="00172C26"/>
    <w:rsid w:val="001D062C"/>
    <w:rsid w:val="001F5503"/>
    <w:rsid w:val="00204A48"/>
    <w:rsid w:val="00246B65"/>
    <w:rsid w:val="00251363"/>
    <w:rsid w:val="00252E85"/>
    <w:rsid w:val="00253729"/>
    <w:rsid w:val="00263E15"/>
    <w:rsid w:val="002915CA"/>
    <w:rsid w:val="002A5043"/>
    <w:rsid w:val="002B1BEC"/>
    <w:rsid w:val="002E2D95"/>
    <w:rsid w:val="002F2204"/>
    <w:rsid w:val="00380F01"/>
    <w:rsid w:val="003A7EAA"/>
    <w:rsid w:val="003C07DF"/>
    <w:rsid w:val="00403172"/>
    <w:rsid w:val="004263AA"/>
    <w:rsid w:val="004B49FB"/>
    <w:rsid w:val="004C0387"/>
    <w:rsid w:val="004F0E6D"/>
    <w:rsid w:val="00507102"/>
    <w:rsid w:val="005579EB"/>
    <w:rsid w:val="005A2D0C"/>
    <w:rsid w:val="005A3C84"/>
    <w:rsid w:val="005F226A"/>
    <w:rsid w:val="006021FB"/>
    <w:rsid w:val="00636FA7"/>
    <w:rsid w:val="006621D1"/>
    <w:rsid w:val="00666F1B"/>
    <w:rsid w:val="006769C3"/>
    <w:rsid w:val="00686ACD"/>
    <w:rsid w:val="006E2759"/>
    <w:rsid w:val="006F2171"/>
    <w:rsid w:val="007007AF"/>
    <w:rsid w:val="00714DC4"/>
    <w:rsid w:val="0073351E"/>
    <w:rsid w:val="00747095"/>
    <w:rsid w:val="007510F9"/>
    <w:rsid w:val="00764ABC"/>
    <w:rsid w:val="00775252"/>
    <w:rsid w:val="007B564A"/>
    <w:rsid w:val="007C6DB4"/>
    <w:rsid w:val="007E119D"/>
    <w:rsid w:val="007F1049"/>
    <w:rsid w:val="008006CF"/>
    <w:rsid w:val="008B2E2D"/>
    <w:rsid w:val="009A0F73"/>
    <w:rsid w:val="009B4B30"/>
    <w:rsid w:val="009C3713"/>
    <w:rsid w:val="009D72F9"/>
    <w:rsid w:val="009F3E5F"/>
    <w:rsid w:val="00A459CA"/>
    <w:rsid w:val="00A65491"/>
    <w:rsid w:val="00A754C4"/>
    <w:rsid w:val="00AC37C4"/>
    <w:rsid w:val="00AD0252"/>
    <w:rsid w:val="00AD583B"/>
    <w:rsid w:val="00B00B9B"/>
    <w:rsid w:val="00B02FBC"/>
    <w:rsid w:val="00B117C2"/>
    <w:rsid w:val="00B85218"/>
    <w:rsid w:val="00B925AB"/>
    <w:rsid w:val="00BA15E2"/>
    <w:rsid w:val="00BA76B1"/>
    <w:rsid w:val="00BB3FE1"/>
    <w:rsid w:val="00BC2932"/>
    <w:rsid w:val="00BC2E85"/>
    <w:rsid w:val="00BE1481"/>
    <w:rsid w:val="00BE6263"/>
    <w:rsid w:val="00BE7D99"/>
    <w:rsid w:val="00C01E6B"/>
    <w:rsid w:val="00C10048"/>
    <w:rsid w:val="00C134E1"/>
    <w:rsid w:val="00C17874"/>
    <w:rsid w:val="00C21110"/>
    <w:rsid w:val="00C95BA9"/>
    <w:rsid w:val="00CA1357"/>
    <w:rsid w:val="00CA2D5D"/>
    <w:rsid w:val="00CB34D8"/>
    <w:rsid w:val="00CD32B2"/>
    <w:rsid w:val="00D10C22"/>
    <w:rsid w:val="00DC52A6"/>
    <w:rsid w:val="00DD1FCA"/>
    <w:rsid w:val="00DD26AC"/>
    <w:rsid w:val="00E058FC"/>
    <w:rsid w:val="00E5524F"/>
    <w:rsid w:val="00E76D9F"/>
    <w:rsid w:val="00EE59AC"/>
    <w:rsid w:val="00F3492F"/>
    <w:rsid w:val="00F80D87"/>
    <w:rsid w:val="00F81555"/>
    <w:rsid w:val="00F82DC2"/>
    <w:rsid w:val="00FB7839"/>
    <w:rsid w:val="00FE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6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02FBC"/>
  </w:style>
  <w:style w:type="paragraph" w:styleId="HTML">
    <w:name w:val="HTML Preformatted"/>
    <w:basedOn w:val="a"/>
    <w:link w:val="HTML0"/>
    <w:uiPriority w:val="99"/>
    <w:semiHidden/>
    <w:unhideWhenUsed/>
    <w:rsid w:val="00B02F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auto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2FBC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C0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021F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rsid w:val="00051F66"/>
    <w:pPr>
      <w:suppressAutoHyphens w:val="0"/>
      <w:spacing w:before="120"/>
      <w:ind w:firstLine="567"/>
      <w:jc w:val="both"/>
    </w:pPr>
    <w:rPr>
      <w:rFonts w:ascii="Antiqua" w:hAnsi="Antiqua"/>
      <w:color w:val="auto"/>
      <w:sz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35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351E"/>
    <w:rPr>
      <w:rFonts w:ascii="Segoe UI" w:eastAsia="Times New Roman" w:hAnsi="Segoe UI" w:cs="Segoe UI"/>
      <w:color w:val="000000"/>
      <w:sz w:val="18"/>
      <w:szCs w:val="1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6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02FBC"/>
  </w:style>
  <w:style w:type="paragraph" w:styleId="HTML">
    <w:name w:val="HTML Preformatted"/>
    <w:basedOn w:val="a"/>
    <w:link w:val="HTML0"/>
    <w:uiPriority w:val="99"/>
    <w:semiHidden/>
    <w:unhideWhenUsed/>
    <w:rsid w:val="00B02F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auto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2FBC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3C0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021F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rsid w:val="00051F66"/>
    <w:pPr>
      <w:suppressAutoHyphens w:val="0"/>
      <w:spacing w:before="120"/>
      <w:ind w:firstLine="567"/>
      <w:jc w:val="both"/>
    </w:pPr>
    <w:rPr>
      <w:rFonts w:ascii="Antiqua" w:hAnsi="Antiqua"/>
      <w:color w:val="auto"/>
      <w:sz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35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351E"/>
    <w:rPr>
      <w:rFonts w:ascii="Segoe UI" w:eastAsia="Times New Roman" w:hAnsi="Segoe UI" w:cs="Segoe UI"/>
      <w:color w:val="000000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Лавриченко Ліана</cp:lastModifiedBy>
  <cp:revision>2</cp:revision>
  <cp:lastPrinted>2020-09-30T11:56:00Z</cp:lastPrinted>
  <dcterms:created xsi:type="dcterms:W3CDTF">2020-11-03T10:49:00Z</dcterms:created>
  <dcterms:modified xsi:type="dcterms:W3CDTF">2020-11-03T10:49:00Z</dcterms:modified>
</cp:coreProperties>
</file>