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4C3" w:rsidRDefault="00ED34C3" w:rsidP="00ED34C3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074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ПОРІВНЯЛЬНА ТАБЛИЦЯ</w:t>
      </w:r>
    </w:p>
    <w:p w:rsidR="00A07410" w:rsidRPr="00A07410" w:rsidRDefault="00A07410" w:rsidP="00ED34C3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1553B" w:rsidRPr="0054598B" w:rsidRDefault="00ED34C3" w:rsidP="0031553B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074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 проекту </w:t>
      </w:r>
      <w:r w:rsidR="003155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r w:rsidR="0031553B" w:rsidRPr="005459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внесення змін до </w:t>
      </w:r>
      <w:r w:rsidR="0031553B" w:rsidRPr="0054598B">
        <w:rPr>
          <w:rFonts w:ascii="Times New Roman" w:hAnsi="Times New Roman" w:cs="Times New Roman"/>
          <w:b/>
          <w:sz w:val="28"/>
          <w:szCs w:val="28"/>
        </w:rPr>
        <w:t xml:space="preserve">розділу ХХ «Прикінцеві та перехідні положення» </w:t>
      </w:r>
      <w:r w:rsidR="0031553B" w:rsidRPr="005459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Податкового кодексу України та інших законодавчих актів про перенесення термінів набрання чинності норм щодо детінізації розрахунків в сфері торгівлі та послуг</w:t>
      </w:r>
      <w:r w:rsidR="003155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</w:t>
      </w:r>
      <w:bookmarkStart w:id="0" w:name="_GoBack"/>
      <w:bookmarkEnd w:id="0"/>
    </w:p>
    <w:p w:rsidR="00A07410" w:rsidRPr="00A07410" w:rsidRDefault="00A07410" w:rsidP="00ED34C3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D34C3" w:rsidRPr="00A07410" w:rsidRDefault="00ED34C3" w:rsidP="00ED34C3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tbl>
      <w:tblPr>
        <w:tblStyle w:val="a3"/>
        <w:tblW w:w="23079" w:type="dxa"/>
        <w:tblLook w:val="01E0" w:firstRow="1" w:lastRow="1" w:firstColumn="1" w:lastColumn="1" w:noHBand="0" w:noVBand="0"/>
      </w:tblPr>
      <w:tblGrid>
        <w:gridCol w:w="7247"/>
        <w:gridCol w:w="7916"/>
        <w:gridCol w:w="7916"/>
      </w:tblGrid>
      <w:tr w:rsidR="00BA3FF7" w:rsidRPr="00A07410" w:rsidTr="00263F35">
        <w:trPr>
          <w:gridAfter w:val="1"/>
          <w:wAfter w:w="7916" w:type="dxa"/>
        </w:trPr>
        <w:tc>
          <w:tcPr>
            <w:tcW w:w="7247" w:type="dxa"/>
          </w:tcPr>
          <w:p w:rsidR="00ED34C3" w:rsidRPr="00A07410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07410">
              <w:rPr>
                <w:b/>
                <w:sz w:val="28"/>
                <w:szCs w:val="28"/>
                <w:lang w:eastAsia="ru-RU"/>
              </w:rPr>
              <w:t>Чинна редакція Закону</w:t>
            </w:r>
          </w:p>
        </w:tc>
        <w:tc>
          <w:tcPr>
            <w:tcW w:w="7916" w:type="dxa"/>
          </w:tcPr>
          <w:p w:rsidR="00ED34C3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07410">
              <w:rPr>
                <w:b/>
                <w:sz w:val="28"/>
                <w:szCs w:val="28"/>
                <w:lang w:eastAsia="ru-RU"/>
              </w:rPr>
              <w:t>Редакція з урахуванням запропонованих змін</w:t>
            </w:r>
          </w:p>
          <w:p w:rsidR="00A07410" w:rsidRPr="00A07410" w:rsidRDefault="00A07410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15163" w:type="dxa"/>
            <w:gridSpan w:val="2"/>
          </w:tcPr>
          <w:p w:rsidR="00ED34C3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07410">
              <w:rPr>
                <w:b/>
                <w:sz w:val="28"/>
                <w:szCs w:val="28"/>
                <w:lang w:eastAsia="ru-RU"/>
              </w:rPr>
              <w:t>Податковий кодекс України</w:t>
            </w:r>
          </w:p>
          <w:p w:rsidR="00A07410" w:rsidRPr="00A07410" w:rsidRDefault="00A07410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7247" w:type="dxa"/>
          </w:tcPr>
          <w:p w:rsidR="00ED34C3" w:rsidRPr="00A07410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07410">
              <w:rPr>
                <w:b/>
                <w:sz w:val="28"/>
                <w:szCs w:val="28"/>
                <w:lang w:eastAsia="ru-RU"/>
              </w:rPr>
              <w:t>Розділ ХХ. ПЕРЕХІДНІ ПОЛОЖЕННЯ</w:t>
            </w:r>
          </w:p>
        </w:tc>
        <w:tc>
          <w:tcPr>
            <w:tcW w:w="7916" w:type="dxa"/>
          </w:tcPr>
          <w:p w:rsidR="00ED34C3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07410">
              <w:rPr>
                <w:b/>
                <w:sz w:val="28"/>
                <w:szCs w:val="28"/>
                <w:lang w:eastAsia="ru-RU"/>
              </w:rPr>
              <w:t>Розділ ХХ. ПЕРЕХІДНІ ПОЛОЖЕННЯ</w:t>
            </w:r>
          </w:p>
          <w:p w:rsidR="00A07410" w:rsidRPr="00A07410" w:rsidRDefault="00A07410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7247" w:type="dxa"/>
          </w:tcPr>
          <w:p w:rsidR="00ED34C3" w:rsidRPr="00A07410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07410">
              <w:rPr>
                <w:b/>
                <w:bCs/>
                <w:sz w:val="28"/>
                <w:szCs w:val="28"/>
                <w:shd w:val="clear" w:color="auto" w:fill="FFFFFF"/>
              </w:rPr>
              <w:t>Підрозділ 10. Інші перехідні положення</w:t>
            </w:r>
          </w:p>
        </w:tc>
        <w:tc>
          <w:tcPr>
            <w:tcW w:w="7916" w:type="dxa"/>
          </w:tcPr>
          <w:p w:rsidR="00ED34C3" w:rsidRPr="00A07410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07410">
              <w:rPr>
                <w:b/>
                <w:bCs/>
                <w:sz w:val="28"/>
                <w:szCs w:val="28"/>
                <w:shd w:val="clear" w:color="auto" w:fill="FFFFFF"/>
              </w:rPr>
              <w:t>Підрозділ 10. Інші перехідні положення</w:t>
            </w: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7247" w:type="dxa"/>
          </w:tcPr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 xml:space="preserve">61. До </w:t>
            </w:r>
            <w:r w:rsidRPr="00A07410">
              <w:rPr>
                <w:b/>
                <w:sz w:val="28"/>
                <w:szCs w:val="28"/>
              </w:rPr>
              <w:t>1 січня 2021 року</w:t>
            </w:r>
            <w:r w:rsidRPr="00A07410">
              <w:rPr>
                <w:sz w:val="28"/>
                <w:szCs w:val="28"/>
              </w:rPr>
              <w:t xml:space="preserve"> реєстратори розрахункових операцій та/або програмні реєстратори розрахункових операцій не застосовуються платниками єдиного податку другої - четвертої груп (фізичними особами - підприємцями) незалежно від обраного виду діяльності, обсяг доходу яких протягом календарного року не перевищує 1000000 гривень, крім тих, які здійснюють: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1" w:name="n17347"/>
            <w:bookmarkEnd w:id="1"/>
            <w:r w:rsidRPr="00A07410">
              <w:rPr>
                <w:sz w:val="28"/>
                <w:szCs w:val="28"/>
              </w:rPr>
              <w:t>реалізацію технічно складних побутових товарів, що підлягають гарантійному ремонту;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2" w:name="n17348"/>
            <w:bookmarkEnd w:id="2"/>
            <w:r w:rsidRPr="00A07410">
              <w:rPr>
                <w:sz w:val="28"/>
                <w:szCs w:val="28"/>
              </w:rPr>
              <w:t>реалізацію лікарських засобів та виробів медичного призначення.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3" w:name="n17350"/>
            <w:bookmarkEnd w:id="3"/>
            <w:r w:rsidRPr="00A07410">
              <w:rPr>
                <w:sz w:val="28"/>
                <w:szCs w:val="28"/>
              </w:rPr>
              <w:lastRenderedPageBreak/>
              <w:t>З 1 січня 2021 року до 1 квітня 2021 року реєстратори розрахункових операцій та/або програмні реєстратори розрахункових операцій не застосовуються платниками єдиного податку другої - четвертої груп (фізичними особами - підприємцями), обсяг доходу яких протягом календарного року не перевищує 1000000 гривень, незалежно від обраного виду діяльності, крім тих, які здійснюють: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4" w:name="n17352"/>
            <w:bookmarkEnd w:id="4"/>
            <w:r w:rsidRPr="00A07410">
              <w:rPr>
                <w:sz w:val="28"/>
                <w:szCs w:val="28"/>
              </w:rPr>
              <w:t>реалізацію товарів (надання послуг) через мережу Інтернет;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5" w:name="n17353"/>
            <w:bookmarkEnd w:id="5"/>
            <w:r w:rsidRPr="00A07410">
              <w:rPr>
                <w:sz w:val="28"/>
                <w:szCs w:val="28"/>
              </w:rPr>
              <w:t>реалізацію технічно складних побутових товарів, що підлягають гарантійному ремонту;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6" w:name="n17354"/>
            <w:bookmarkEnd w:id="6"/>
            <w:r w:rsidRPr="00A07410">
              <w:rPr>
                <w:sz w:val="28"/>
                <w:szCs w:val="28"/>
              </w:rPr>
              <w:t>реалізацію лікарських засобів, виробів медичного призначення та надання платних послуг у сфері охорони здоров’я;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7" w:name="n17355"/>
            <w:bookmarkEnd w:id="7"/>
            <w:r w:rsidRPr="00A07410">
              <w:rPr>
                <w:sz w:val="28"/>
                <w:szCs w:val="28"/>
              </w:rPr>
              <w:t xml:space="preserve">реалізацію ювелірних та побутових виробів з дорогоцінних металів, дорогоцінного каміння, дорогоцінного каміння органогенного утворення та </w:t>
            </w:r>
            <w:proofErr w:type="spellStart"/>
            <w:r w:rsidRPr="00A07410">
              <w:rPr>
                <w:sz w:val="28"/>
                <w:szCs w:val="28"/>
              </w:rPr>
              <w:t>напівдорогоцінного</w:t>
            </w:r>
            <w:proofErr w:type="spellEnd"/>
            <w:r w:rsidRPr="00A07410">
              <w:rPr>
                <w:sz w:val="28"/>
                <w:szCs w:val="28"/>
              </w:rPr>
              <w:t xml:space="preserve"> каміння;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8" w:name="n17356"/>
            <w:bookmarkEnd w:id="8"/>
            <w:r w:rsidRPr="00A07410">
              <w:rPr>
                <w:sz w:val="28"/>
                <w:szCs w:val="28"/>
              </w:rPr>
              <w:t>роздрібну торгівлю вживаними товарами в магазинах (</w:t>
            </w:r>
            <w:hyperlink r:id="rId6" w:tgtFrame="_blank" w:history="1">
              <w:r w:rsidRPr="00A07410">
                <w:rPr>
                  <w:rStyle w:val="a4"/>
                  <w:color w:val="auto"/>
                  <w:sz w:val="28"/>
                  <w:szCs w:val="28"/>
                </w:rPr>
                <w:t>група 47.79</w:t>
              </w:r>
            </w:hyperlink>
            <w:r w:rsidRPr="00A07410">
              <w:rPr>
                <w:sz w:val="28"/>
                <w:szCs w:val="28"/>
              </w:rPr>
              <w:t> КВЕД);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9" w:name="n17357"/>
            <w:bookmarkEnd w:id="9"/>
            <w:r w:rsidRPr="00A07410">
              <w:rPr>
                <w:sz w:val="28"/>
                <w:szCs w:val="28"/>
              </w:rPr>
              <w:t>діяльність ресторанів, кафе, ресторанів швидкого обслуговування, якщо така діяльність є іншою, ніж визначена </w:t>
            </w:r>
            <w:hyperlink r:id="rId7" w:anchor="n139" w:tgtFrame="_blank" w:history="1">
              <w:r w:rsidRPr="00A07410">
                <w:rPr>
                  <w:rStyle w:val="a4"/>
                  <w:color w:val="auto"/>
                  <w:sz w:val="28"/>
                  <w:szCs w:val="28"/>
                </w:rPr>
                <w:t>пунктом 11</w:t>
              </w:r>
            </w:hyperlink>
            <w:r w:rsidRPr="00A07410">
              <w:rPr>
                <w:sz w:val="28"/>
                <w:szCs w:val="28"/>
              </w:rPr>
              <w:t> статті 9 Закону України "Про застосування реєстраторів розрахункових операцій у сфері торгівлі, громадського харчування та послуг";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10" w:name="n17358"/>
            <w:bookmarkEnd w:id="10"/>
            <w:r w:rsidRPr="00A07410">
              <w:rPr>
                <w:sz w:val="28"/>
                <w:szCs w:val="28"/>
              </w:rPr>
              <w:lastRenderedPageBreak/>
              <w:t>діяльність туристичних агентств, туристичних операторів;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11" w:name="n17359"/>
            <w:bookmarkEnd w:id="11"/>
            <w:r w:rsidRPr="00A07410">
              <w:rPr>
                <w:sz w:val="28"/>
                <w:szCs w:val="28"/>
              </w:rPr>
              <w:t>діяльність готелів і подібних засобів тимчасового розміщення (</w:t>
            </w:r>
            <w:hyperlink r:id="rId8" w:tgtFrame="_blank" w:history="1">
              <w:r w:rsidRPr="00A07410">
                <w:rPr>
                  <w:rStyle w:val="a4"/>
                  <w:color w:val="auto"/>
                  <w:sz w:val="28"/>
                  <w:szCs w:val="28"/>
                </w:rPr>
                <w:t>група 55.10</w:t>
              </w:r>
            </w:hyperlink>
            <w:r w:rsidRPr="00A07410">
              <w:rPr>
                <w:sz w:val="28"/>
                <w:szCs w:val="28"/>
              </w:rPr>
              <w:t> КВЕД);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12" w:name="n17360"/>
            <w:bookmarkEnd w:id="12"/>
            <w:r w:rsidRPr="00A07410">
              <w:rPr>
                <w:sz w:val="28"/>
                <w:szCs w:val="28"/>
              </w:rPr>
              <w:t>реалізацію текстилю (крім реалізації за готівкові кошти на ринках), деталей та приладдя для автотранспортних засобів відповідно до переліку, що затверджується Кабінетом Міністрів України.</w:t>
            </w:r>
          </w:p>
          <w:p w:rsidR="00ED34C3" w:rsidRPr="00A07410" w:rsidRDefault="00ED34C3" w:rsidP="00A0741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bookmarkStart w:id="13" w:name="n17361"/>
            <w:bookmarkEnd w:id="13"/>
            <w:r w:rsidRPr="00A07410">
              <w:rPr>
                <w:sz w:val="28"/>
                <w:szCs w:val="28"/>
              </w:rPr>
              <w:t>У разі перевищення платником єдиного податку другої - четвертої груп (фізичною особою - підприємцем) в календарному році обсягу доходу 1000000 гривень, застосування реєстратора розрахункових операцій та/або програмного реєстратора розрахункових операцій для такого платника єдиного податку є обов’язковим. Застосування реєстратора розрахункових операцій та/або програмного реєстратора розрахункових операцій починається з першого числа першого місяця кварталу, наступного за виникненням такого перевищення, та продовжується в усіх наступних податкових періодах протягом реєстрації суб’єкта господарювання як платника єдиного податку.</w:t>
            </w:r>
          </w:p>
        </w:tc>
        <w:tc>
          <w:tcPr>
            <w:tcW w:w="7916" w:type="dxa"/>
          </w:tcPr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lastRenderedPageBreak/>
              <w:t xml:space="preserve">61. До </w:t>
            </w:r>
            <w:r w:rsidRPr="00A07410">
              <w:rPr>
                <w:b/>
                <w:sz w:val="28"/>
                <w:szCs w:val="28"/>
              </w:rPr>
              <w:t>1 січня 202</w:t>
            </w:r>
            <w:r w:rsidR="00B26EF5" w:rsidRPr="00A07410">
              <w:rPr>
                <w:b/>
                <w:sz w:val="28"/>
                <w:szCs w:val="28"/>
              </w:rPr>
              <w:t>2</w:t>
            </w:r>
            <w:r w:rsidRPr="00A07410">
              <w:rPr>
                <w:sz w:val="28"/>
                <w:szCs w:val="28"/>
              </w:rPr>
              <w:t xml:space="preserve"> року реєстратори розрахункових операцій та/або програмні реєстратори розрахункових операцій не застосовуються платниками єдиного податку другої - четвертої груп (фізичними особами - підприємцями) незалежно від обраного виду діяльності, обсяг доходу яких протягом календарного року не перевищує 1000000 гривень, крім тих, які здійснюють: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реалізацію технічно складних побутових товарів, що підлягають гарантійному ремонту;</w:t>
            </w: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реалізацію лікарських засобів та виробів медичного призначення.</w:t>
            </w: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r w:rsidRPr="00A07410">
              <w:rPr>
                <w:b/>
                <w:sz w:val="28"/>
                <w:szCs w:val="28"/>
              </w:rPr>
              <w:lastRenderedPageBreak/>
              <w:t>Виключено.</w:t>
            </w: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4137F5" w:rsidRPr="00A07410" w:rsidRDefault="004137F5" w:rsidP="00A07410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</w:p>
          <w:p w:rsidR="00ED34C3" w:rsidRPr="00A07410" w:rsidRDefault="00ED34C3" w:rsidP="00ED34C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У разі перевищення платником єдиного податку другої - четвертої груп (фізичною особою - підприємцем) в календарному році обсягу доходу 1000000 гривень, застосування реєстратора розрахункових операцій та/або програмного реєстратора розрахункових операцій для такого платника єдиного податку є обов’язковим. Застосування реєстратора розрахункових операцій та/або програмного реєстратора розрахункових операцій починається з першого числа першого місяця кварталу, наступного за виникненням такого перевищення, та продовжується в усіх наступних податкових періодах протягом реєстрації суб’єкта господарювання як платника єдиного податку.</w:t>
            </w:r>
          </w:p>
          <w:p w:rsidR="00ED34C3" w:rsidRPr="00A07410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15163" w:type="dxa"/>
            <w:gridSpan w:val="2"/>
          </w:tcPr>
          <w:p w:rsidR="00ED34C3" w:rsidRPr="00A07410" w:rsidRDefault="00263F35" w:rsidP="00ED34C3">
            <w:pPr>
              <w:ind w:firstLine="851"/>
              <w:jc w:val="center"/>
              <w:rPr>
                <w:b/>
                <w:sz w:val="28"/>
                <w:szCs w:val="28"/>
              </w:rPr>
            </w:pPr>
            <w:r w:rsidRPr="00A07410">
              <w:rPr>
                <w:b/>
                <w:sz w:val="28"/>
                <w:szCs w:val="28"/>
                <w:lang w:eastAsia="ru-RU"/>
              </w:rPr>
              <w:lastRenderedPageBreak/>
              <w:t>Закон</w:t>
            </w:r>
            <w:r w:rsidR="00ED34C3" w:rsidRPr="00A07410">
              <w:rPr>
                <w:b/>
                <w:sz w:val="28"/>
                <w:szCs w:val="28"/>
                <w:lang w:eastAsia="ru-RU"/>
              </w:rPr>
              <w:t xml:space="preserve"> України "Про внесення змін до Податкового кодексу України щодо детінізації розрахунків у сфері торгівлі і послуг" (Відомості Верховної Ради України, 2019 р., № 46, ст. 297)</w:t>
            </w: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7247" w:type="dxa"/>
          </w:tcPr>
          <w:p w:rsidR="00ED34C3" w:rsidRPr="00A07410" w:rsidRDefault="00ED34C3" w:rsidP="00A07410">
            <w:pPr>
              <w:ind w:firstLine="851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II. Прикінцеві положення</w:t>
            </w:r>
          </w:p>
        </w:tc>
        <w:tc>
          <w:tcPr>
            <w:tcW w:w="7916" w:type="dxa"/>
          </w:tcPr>
          <w:p w:rsidR="00ED34C3" w:rsidRPr="00A07410" w:rsidRDefault="00ED34C3" w:rsidP="00ED34C3">
            <w:pPr>
              <w:ind w:firstLine="851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II. Прикінцеві положення</w:t>
            </w:r>
          </w:p>
          <w:p w:rsidR="00ED34C3" w:rsidRPr="00A07410" w:rsidRDefault="00ED34C3" w:rsidP="00ED34C3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7247" w:type="dxa"/>
          </w:tcPr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lastRenderedPageBreak/>
              <w:t>1. Цей Закон набирає чинності з 1 серпня 2020 року, крім:</w:t>
            </w:r>
          </w:p>
          <w:bookmarkStart w:id="14" w:name="n101"/>
          <w:bookmarkStart w:id="15" w:name="n83"/>
          <w:bookmarkEnd w:id="14"/>
          <w:bookmarkEnd w:id="15"/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fldChar w:fldCharType="begin"/>
            </w:r>
            <w:r w:rsidRPr="00A07410">
              <w:rPr>
                <w:sz w:val="28"/>
                <w:szCs w:val="28"/>
              </w:rPr>
              <w:instrText xml:space="preserve"> HYPERLINK "https://zakon.rada.gov.ua/rada/show/129-20" \l "n6" </w:instrText>
            </w:r>
            <w:r w:rsidRPr="00A07410">
              <w:rPr>
                <w:sz w:val="28"/>
                <w:szCs w:val="28"/>
              </w:rPr>
              <w:fldChar w:fldCharType="separate"/>
            </w:r>
            <w:r w:rsidRPr="00A07410">
              <w:rPr>
                <w:sz w:val="28"/>
                <w:szCs w:val="28"/>
              </w:rPr>
              <w:t>пункту 1</w:t>
            </w:r>
            <w:r w:rsidRPr="00A07410">
              <w:rPr>
                <w:sz w:val="28"/>
                <w:szCs w:val="28"/>
              </w:rPr>
              <w:fldChar w:fldCharType="end"/>
            </w:r>
            <w:r w:rsidRPr="00A07410">
              <w:rPr>
                <w:sz w:val="28"/>
                <w:szCs w:val="28"/>
              </w:rPr>
              <w:t> (щодо змін до</w:t>
            </w:r>
            <w:hyperlink r:id="rId9" w:anchor="n256" w:tgtFrame="_blank" w:history="1">
              <w:r w:rsidRPr="00A07410">
                <w:rPr>
                  <w:sz w:val="28"/>
                  <w:szCs w:val="28"/>
                </w:rPr>
                <w:t> статті 14</w:t>
              </w:r>
            </w:hyperlink>
            <w:r w:rsidRPr="00A07410">
              <w:rPr>
                <w:sz w:val="28"/>
                <w:szCs w:val="28"/>
              </w:rPr>
              <w:t>), </w:t>
            </w:r>
            <w:hyperlink r:id="rId10" w:anchor="n16" w:history="1">
              <w:r w:rsidRPr="00A07410">
                <w:rPr>
                  <w:sz w:val="28"/>
                  <w:szCs w:val="28"/>
                </w:rPr>
                <w:t>пункту 4</w:t>
              </w:r>
            </w:hyperlink>
            <w:r w:rsidRPr="00A07410">
              <w:rPr>
                <w:sz w:val="28"/>
                <w:szCs w:val="28"/>
              </w:rPr>
              <w:t> (щодо змін до </w:t>
            </w:r>
            <w:hyperlink r:id="rId11" w:anchor="n1100" w:tgtFrame="_blank" w:history="1">
              <w:r w:rsidRPr="00A07410">
                <w:rPr>
                  <w:sz w:val="28"/>
                  <w:szCs w:val="28"/>
                </w:rPr>
                <w:t>статті 43</w:t>
              </w:r>
            </w:hyperlink>
            <w:r w:rsidRPr="00A07410">
              <w:rPr>
                <w:sz w:val="28"/>
                <w:szCs w:val="28"/>
              </w:rPr>
              <w:t>), </w:t>
            </w:r>
            <w:hyperlink r:id="rId12" w:anchor="n27" w:history="1">
              <w:r w:rsidRPr="00A07410">
                <w:rPr>
                  <w:sz w:val="28"/>
                  <w:szCs w:val="28"/>
                </w:rPr>
                <w:t>підпункту 2 </w:t>
              </w:r>
            </w:hyperlink>
            <w:r w:rsidRPr="00A07410">
              <w:rPr>
                <w:sz w:val="28"/>
                <w:szCs w:val="28"/>
              </w:rPr>
              <w:t>пункту 5 (щодо змін до </w:t>
            </w:r>
            <w:hyperlink r:id="rId13" w:anchor="n1714" w:tgtFrame="_blank" w:history="1">
              <w:r w:rsidRPr="00A07410">
                <w:rPr>
                  <w:sz w:val="28"/>
                  <w:szCs w:val="28"/>
                </w:rPr>
                <w:t>підпункту 72.1.6</w:t>
              </w:r>
            </w:hyperlink>
            <w:r w:rsidRPr="00A07410">
              <w:rPr>
                <w:sz w:val="28"/>
                <w:szCs w:val="28"/>
              </w:rPr>
              <w:t> пункту 72.1 статті 72), </w:t>
            </w:r>
            <w:hyperlink r:id="rId14" w:anchor="n29" w:history="1">
              <w:r w:rsidRPr="00A07410">
                <w:rPr>
                  <w:sz w:val="28"/>
                  <w:szCs w:val="28"/>
                </w:rPr>
                <w:t>пункту 6</w:t>
              </w:r>
            </w:hyperlink>
            <w:r w:rsidRPr="00A07410">
              <w:rPr>
                <w:sz w:val="28"/>
                <w:szCs w:val="28"/>
              </w:rPr>
              <w:t> (щодо змін до </w:t>
            </w:r>
            <w:hyperlink r:id="rId15" w:anchor="n1715" w:tgtFrame="_blank" w:history="1">
              <w:r w:rsidRPr="00A07410">
                <w:rPr>
                  <w:sz w:val="28"/>
                  <w:szCs w:val="28"/>
                </w:rPr>
                <w:t>статті 73</w:t>
              </w:r>
            </w:hyperlink>
            <w:r w:rsidRPr="00A07410">
              <w:rPr>
                <w:sz w:val="28"/>
                <w:szCs w:val="28"/>
              </w:rPr>
              <w:t>), </w:t>
            </w:r>
            <w:hyperlink r:id="rId16" w:anchor="n32" w:history="1">
              <w:r w:rsidRPr="00A07410">
                <w:rPr>
                  <w:sz w:val="28"/>
                  <w:szCs w:val="28"/>
                </w:rPr>
                <w:t>пункту 7</w:t>
              </w:r>
            </w:hyperlink>
            <w:r w:rsidRPr="00A07410">
              <w:rPr>
                <w:sz w:val="28"/>
                <w:szCs w:val="28"/>
              </w:rPr>
              <w:t> (щодо змін до </w:t>
            </w:r>
            <w:hyperlink r:id="rId17" w:anchor="n1753" w:tgtFrame="_blank" w:history="1">
              <w:r w:rsidRPr="00A07410">
                <w:rPr>
                  <w:sz w:val="28"/>
                  <w:szCs w:val="28"/>
                </w:rPr>
                <w:t>статті 75</w:t>
              </w:r>
            </w:hyperlink>
            <w:r w:rsidRPr="00A07410">
              <w:rPr>
                <w:sz w:val="28"/>
                <w:szCs w:val="28"/>
              </w:rPr>
              <w:t>), </w:t>
            </w:r>
            <w:hyperlink r:id="rId18" w:anchor="n35" w:history="1">
              <w:r w:rsidRPr="00A07410">
                <w:rPr>
                  <w:sz w:val="28"/>
                  <w:szCs w:val="28"/>
                </w:rPr>
                <w:t>пункту 10</w:t>
              </w:r>
            </w:hyperlink>
            <w:r w:rsidRPr="00A07410">
              <w:rPr>
                <w:sz w:val="28"/>
                <w:szCs w:val="28"/>
              </w:rPr>
              <w:t> (щодо змін до </w:t>
            </w:r>
            <w:hyperlink r:id="rId19" w:anchor="n2363" w:tgtFrame="_blank" w:history="1">
              <w:r w:rsidRPr="00A07410">
                <w:rPr>
                  <w:sz w:val="28"/>
                  <w:szCs w:val="28"/>
                </w:rPr>
                <w:t>статті 113</w:t>
              </w:r>
            </w:hyperlink>
            <w:r w:rsidRPr="00A07410">
              <w:rPr>
                <w:sz w:val="28"/>
                <w:szCs w:val="28"/>
              </w:rPr>
              <w:t>), </w:t>
            </w:r>
            <w:hyperlink r:id="rId20" w:anchor="n37" w:history="1">
              <w:r w:rsidRPr="00A07410">
                <w:rPr>
                  <w:sz w:val="28"/>
                  <w:szCs w:val="28"/>
                </w:rPr>
                <w:t>пункту 11</w:t>
              </w:r>
            </w:hyperlink>
            <w:r w:rsidRPr="00A07410">
              <w:rPr>
                <w:sz w:val="28"/>
                <w:szCs w:val="28"/>
              </w:rPr>
              <w:t> (щодо змін до </w:t>
            </w:r>
            <w:hyperlink r:id="rId21" w:anchor="n3699" w:tgtFrame="_blank" w:history="1">
              <w:r w:rsidRPr="00A07410">
                <w:rPr>
                  <w:sz w:val="28"/>
                  <w:szCs w:val="28"/>
                </w:rPr>
                <w:t>статті 165</w:t>
              </w:r>
            </w:hyperlink>
            <w:r w:rsidRPr="00A07410">
              <w:rPr>
                <w:sz w:val="28"/>
                <w:szCs w:val="28"/>
              </w:rPr>
              <w:t xml:space="preserve">) розділу I цього Закону, які набирають чинності з 1 січня </w:t>
            </w:r>
            <w:r w:rsidRPr="00A07410">
              <w:rPr>
                <w:b/>
                <w:sz w:val="28"/>
                <w:szCs w:val="28"/>
              </w:rPr>
              <w:t>2021</w:t>
            </w:r>
            <w:r w:rsidRPr="00A07410">
              <w:rPr>
                <w:sz w:val="28"/>
                <w:szCs w:val="28"/>
              </w:rPr>
              <w:t xml:space="preserve"> року;</w:t>
            </w:r>
          </w:p>
        </w:tc>
        <w:tc>
          <w:tcPr>
            <w:tcW w:w="7916" w:type="dxa"/>
          </w:tcPr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1. Цей Закон набирає чинності з 1 серпня 2020 року, крім:</w:t>
            </w:r>
          </w:p>
          <w:p w:rsidR="00263F35" w:rsidRPr="00A07410" w:rsidRDefault="009450CB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hyperlink r:id="rId22" w:anchor="n6" w:history="1">
              <w:r w:rsidR="00263F35" w:rsidRPr="00A07410">
                <w:rPr>
                  <w:sz w:val="28"/>
                  <w:szCs w:val="28"/>
                </w:rPr>
                <w:t>пункту 1</w:t>
              </w:r>
            </w:hyperlink>
            <w:r w:rsidR="00263F35" w:rsidRPr="00A07410">
              <w:rPr>
                <w:sz w:val="28"/>
                <w:szCs w:val="28"/>
              </w:rPr>
              <w:t> (щодо змін до</w:t>
            </w:r>
            <w:hyperlink r:id="rId23" w:anchor="n256" w:tgtFrame="_blank" w:history="1">
              <w:r w:rsidR="00263F35" w:rsidRPr="00A07410">
                <w:rPr>
                  <w:sz w:val="28"/>
                  <w:szCs w:val="28"/>
                </w:rPr>
                <w:t> статті 14</w:t>
              </w:r>
            </w:hyperlink>
            <w:r w:rsidR="00263F35" w:rsidRPr="00A07410">
              <w:rPr>
                <w:sz w:val="28"/>
                <w:szCs w:val="28"/>
              </w:rPr>
              <w:t>), </w:t>
            </w:r>
            <w:hyperlink r:id="rId24" w:anchor="n16" w:history="1">
              <w:r w:rsidR="00263F35" w:rsidRPr="00A07410">
                <w:rPr>
                  <w:sz w:val="28"/>
                  <w:szCs w:val="28"/>
                </w:rPr>
                <w:t>пункту 4</w:t>
              </w:r>
            </w:hyperlink>
            <w:r w:rsidR="00263F35" w:rsidRPr="00A07410">
              <w:rPr>
                <w:sz w:val="28"/>
                <w:szCs w:val="28"/>
              </w:rPr>
              <w:t> (щодо змін до </w:t>
            </w:r>
            <w:hyperlink r:id="rId25" w:anchor="n1100" w:tgtFrame="_blank" w:history="1">
              <w:r w:rsidR="00263F35" w:rsidRPr="00A07410">
                <w:rPr>
                  <w:sz w:val="28"/>
                  <w:szCs w:val="28"/>
                </w:rPr>
                <w:t>статті 43</w:t>
              </w:r>
            </w:hyperlink>
            <w:r w:rsidR="00263F35" w:rsidRPr="00A07410">
              <w:rPr>
                <w:sz w:val="28"/>
                <w:szCs w:val="28"/>
              </w:rPr>
              <w:t>), </w:t>
            </w:r>
            <w:hyperlink r:id="rId26" w:anchor="n27" w:history="1">
              <w:r w:rsidR="00263F35" w:rsidRPr="00A07410">
                <w:rPr>
                  <w:sz w:val="28"/>
                  <w:szCs w:val="28"/>
                </w:rPr>
                <w:t>підпункту 2 </w:t>
              </w:r>
            </w:hyperlink>
            <w:r w:rsidR="00263F35" w:rsidRPr="00A07410">
              <w:rPr>
                <w:sz w:val="28"/>
                <w:szCs w:val="28"/>
              </w:rPr>
              <w:t>пункту 5 (щодо змін до </w:t>
            </w:r>
            <w:hyperlink r:id="rId27" w:anchor="n1714" w:tgtFrame="_blank" w:history="1">
              <w:r w:rsidR="00263F35" w:rsidRPr="00A07410">
                <w:rPr>
                  <w:sz w:val="28"/>
                  <w:szCs w:val="28"/>
                </w:rPr>
                <w:t>підпункту 72.1.6</w:t>
              </w:r>
            </w:hyperlink>
            <w:r w:rsidR="00263F35" w:rsidRPr="00A07410">
              <w:rPr>
                <w:sz w:val="28"/>
                <w:szCs w:val="28"/>
              </w:rPr>
              <w:t> пункту 72.1 статті 72), </w:t>
            </w:r>
            <w:hyperlink r:id="rId28" w:anchor="n29" w:history="1">
              <w:r w:rsidR="00263F35" w:rsidRPr="00A07410">
                <w:rPr>
                  <w:sz w:val="28"/>
                  <w:szCs w:val="28"/>
                </w:rPr>
                <w:t>пункту 6</w:t>
              </w:r>
            </w:hyperlink>
            <w:r w:rsidR="00263F35" w:rsidRPr="00A07410">
              <w:rPr>
                <w:sz w:val="28"/>
                <w:szCs w:val="28"/>
              </w:rPr>
              <w:t> (щодо змін до </w:t>
            </w:r>
            <w:hyperlink r:id="rId29" w:anchor="n1715" w:tgtFrame="_blank" w:history="1">
              <w:r w:rsidR="00263F35" w:rsidRPr="00A07410">
                <w:rPr>
                  <w:sz w:val="28"/>
                  <w:szCs w:val="28"/>
                </w:rPr>
                <w:t>статті 73</w:t>
              </w:r>
            </w:hyperlink>
            <w:r w:rsidR="00263F35" w:rsidRPr="00A07410">
              <w:rPr>
                <w:sz w:val="28"/>
                <w:szCs w:val="28"/>
              </w:rPr>
              <w:t>), </w:t>
            </w:r>
            <w:hyperlink r:id="rId30" w:anchor="n32" w:history="1">
              <w:r w:rsidR="00263F35" w:rsidRPr="00A07410">
                <w:rPr>
                  <w:sz w:val="28"/>
                  <w:szCs w:val="28"/>
                </w:rPr>
                <w:t>пункту 7</w:t>
              </w:r>
            </w:hyperlink>
            <w:r w:rsidR="00263F35" w:rsidRPr="00A07410">
              <w:rPr>
                <w:sz w:val="28"/>
                <w:szCs w:val="28"/>
              </w:rPr>
              <w:t> (щодо змін до </w:t>
            </w:r>
            <w:hyperlink r:id="rId31" w:anchor="n1753" w:tgtFrame="_blank" w:history="1">
              <w:r w:rsidR="00263F35" w:rsidRPr="00A07410">
                <w:rPr>
                  <w:sz w:val="28"/>
                  <w:szCs w:val="28"/>
                </w:rPr>
                <w:t>статті 75</w:t>
              </w:r>
            </w:hyperlink>
            <w:r w:rsidR="00263F35" w:rsidRPr="00A07410">
              <w:rPr>
                <w:sz w:val="28"/>
                <w:szCs w:val="28"/>
              </w:rPr>
              <w:t>), </w:t>
            </w:r>
            <w:hyperlink r:id="rId32" w:anchor="n35" w:history="1">
              <w:r w:rsidR="00263F35" w:rsidRPr="00A07410">
                <w:rPr>
                  <w:sz w:val="28"/>
                  <w:szCs w:val="28"/>
                </w:rPr>
                <w:t>пункту 10</w:t>
              </w:r>
            </w:hyperlink>
            <w:r w:rsidR="00263F35" w:rsidRPr="00A07410">
              <w:rPr>
                <w:sz w:val="28"/>
                <w:szCs w:val="28"/>
              </w:rPr>
              <w:t> (щодо змін до </w:t>
            </w:r>
            <w:hyperlink r:id="rId33" w:anchor="n2363" w:tgtFrame="_blank" w:history="1">
              <w:r w:rsidR="00263F35" w:rsidRPr="00A07410">
                <w:rPr>
                  <w:sz w:val="28"/>
                  <w:szCs w:val="28"/>
                </w:rPr>
                <w:t>статті 113</w:t>
              </w:r>
            </w:hyperlink>
            <w:r w:rsidR="00263F35" w:rsidRPr="00A07410">
              <w:rPr>
                <w:sz w:val="28"/>
                <w:szCs w:val="28"/>
              </w:rPr>
              <w:t>), </w:t>
            </w:r>
            <w:hyperlink r:id="rId34" w:anchor="n37" w:history="1">
              <w:r w:rsidR="00263F35" w:rsidRPr="00A07410">
                <w:rPr>
                  <w:sz w:val="28"/>
                  <w:szCs w:val="28"/>
                </w:rPr>
                <w:t>пункту 11</w:t>
              </w:r>
            </w:hyperlink>
            <w:r w:rsidR="00263F35" w:rsidRPr="00A07410">
              <w:rPr>
                <w:sz w:val="28"/>
                <w:szCs w:val="28"/>
              </w:rPr>
              <w:t> (щодо змін до </w:t>
            </w:r>
            <w:hyperlink r:id="rId35" w:anchor="n3699" w:tgtFrame="_blank" w:history="1">
              <w:r w:rsidR="00263F35" w:rsidRPr="00A07410">
                <w:rPr>
                  <w:sz w:val="28"/>
                  <w:szCs w:val="28"/>
                </w:rPr>
                <w:t>статті 165</w:t>
              </w:r>
            </w:hyperlink>
            <w:r w:rsidR="00263F35" w:rsidRPr="00A07410">
              <w:rPr>
                <w:sz w:val="28"/>
                <w:szCs w:val="28"/>
              </w:rPr>
              <w:t xml:space="preserve">) розділу I цього Закону, які набирають чинності з 1 січня </w:t>
            </w:r>
            <w:r w:rsidR="00263F35" w:rsidRPr="00A07410">
              <w:rPr>
                <w:b/>
                <w:sz w:val="28"/>
                <w:szCs w:val="28"/>
              </w:rPr>
              <w:t>2022</w:t>
            </w:r>
            <w:r w:rsidR="00263F35" w:rsidRPr="00A07410">
              <w:rPr>
                <w:sz w:val="28"/>
                <w:szCs w:val="28"/>
              </w:rPr>
              <w:t xml:space="preserve"> року;</w:t>
            </w:r>
          </w:p>
          <w:p w:rsidR="00263F35" w:rsidRPr="00A07410" w:rsidRDefault="00263F35" w:rsidP="00263F35">
            <w:pPr>
              <w:jc w:val="center"/>
              <w:rPr>
                <w:sz w:val="28"/>
                <w:szCs w:val="28"/>
              </w:rPr>
            </w:pP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15163" w:type="dxa"/>
            <w:gridSpan w:val="2"/>
          </w:tcPr>
          <w:p w:rsidR="00263F35" w:rsidRPr="00A07410" w:rsidRDefault="009450CB" w:rsidP="00263F35">
            <w:pPr>
              <w:shd w:val="clear" w:color="auto" w:fill="FFFFFF"/>
              <w:spacing w:after="150"/>
              <w:ind w:firstLine="450"/>
              <w:jc w:val="center"/>
              <w:rPr>
                <w:b/>
                <w:sz w:val="28"/>
                <w:szCs w:val="28"/>
              </w:rPr>
            </w:pPr>
            <w:hyperlink r:id="rId36" w:tgtFrame="_blank" w:history="1">
              <w:r w:rsidR="00263F35" w:rsidRPr="00A07410">
                <w:rPr>
                  <w:b/>
                  <w:sz w:val="28"/>
                  <w:szCs w:val="28"/>
                  <w:lang w:eastAsia="ru-RU"/>
                </w:rPr>
                <w:t>Закон України</w:t>
              </w:r>
            </w:hyperlink>
            <w:r w:rsidR="00263F35" w:rsidRPr="00A07410">
              <w:rPr>
                <w:b/>
                <w:sz w:val="28"/>
                <w:szCs w:val="28"/>
                <w:lang w:eastAsia="ru-RU"/>
              </w:rPr>
              <w:t xml:space="preserve"> "Про внесення змін до Закону України "Про застосування реєстраторів розрахункових операцій у сфері торгівлі, громадського харчування та послуг" та інших законів України щодо детінізації розрахунків у сфері торгівлі та послуг" (Відомості Верховної Ради України, 2019 р., № 46, ст. 296)</w:t>
            </w:r>
          </w:p>
        </w:tc>
      </w:tr>
      <w:tr w:rsidR="00BA3FF7" w:rsidRPr="00A07410" w:rsidTr="00263F35">
        <w:tc>
          <w:tcPr>
            <w:tcW w:w="7247" w:type="dxa"/>
          </w:tcPr>
          <w:p w:rsidR="00263F35" w:rsidRPr="00A07410" w:rsidRDefault="009450CB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hyperlink r:id="rId37" w:anchor="n204" w:history="1">
              <w:r w:rsidR="00263F35" w:rsidRPr="00A07410">
                <w:rPr>
                  <w:sz w:val="28"/>
                  <w:szCs w:val="28"/>
                </w:rPr>
                <w:t>16</w:t>
              </w:r>
            </w:hyperlink>
            <w:r w:rsidR="00263F35" w:rsidRPr="00A07410">
              <w:rPr>
                <w:sz w:val="28"/>
                <w:szCs w:val="28"/>
              </w:rPr>
              <w:t>. У </w:t>
            </w:r>
            <w:hyperlink r:id="rId38" w:anchor="n230" w:tgtFrame="_blank" w:history="1">
              <w:r w:rsidR="00263F35" w:rsidRPr="00A07410">
                <w:rPr>
                  <w:sz w:val="28"/>
                  <w:szCs w:val="28"/>
                </w:rPr>
                <w:t>розділі II</w:t>
              </w:r>
            </w:hyperlink>
            <w:r w:rsidR="00263F35" w:rsidRPr="00A07410">
              <w:rPr>
                <w:sz w:val="28"/>
                <w:szCs w:val="28"/>
              </w:rPr>
              <w:t> "Прикінцеві положення":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…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 xml:space="preserve">11. Тимчасово, до 1 січня </w:t>
            </w:r>
            <w:r w:rsidRPr="00A07410">
              <w:rPr>
                <w:b/>
                <w:sz w:val="28"/>
                <w:szCs w:val="28"/>
              </w:rPr>
              <w:t>2021</w:t>
            </w:r>
            <w:r w:rsidRPr="00A07410">
              <w:rPr>
                <w:sz w:val="28"/>
                <w:szCs w:val="28"/>
              </w:rPr>
              <w:t xml:space="preserve"> року, санкції, визначені пунктом 1 статті 17 цього Закону, застосовуються в таких розмірах: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bookmarkStart w:id="16" w:name="n214"/>
            <w:bookmarkStart w:id="17" w:name="n192"/>
            <w:bookmarkEnd w:id="16"/>
            <w:bookmarkEnd w:id="17"/>
            <w:r w:rsidRPr="00A07410">
              <w:rPr>
                <w:sz w:val="28"/>
                <w:szCs w:val="28"/>
              </w:rPr>
              <w:t>10 відсотків вартості проданих з порушеннями, встановленими цим пунктом, товарів (робіт, послуг) - за порушення, вчинене вперше;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bookmarkStart w:id="18" w:name="n193"/>
            <w:bookmarkEnd w:id="18"/>
            <w:r w:rsidRPr="00A07410">
              <w:rPr>
                <w:sz w:val="28"/>
                <w:szCs w:val="28"/>
              </w:rPr>
              <w:t>50 відсотків вартості проданих з порушеннями, встановленими цим пунктом, товарів (робіт, послуг) - за кожне наступне вчинене порушення".</w:t>
            </w:r>
          </w:p>
        </w:tc>
        <w:tc>
          <w:tcPr>
            <w:tcW w:w="7916" w:type="dxa"/>
          </w:tcPr>
          <w:p w:rsidR="00263F35" w:rsidRPr="00A07410" w:rsidRDefault="009450CB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hyperlink r:id="rId39" w:anchor="n204" w:history="1">
              <w:r w:rsidR="00263F35" w:rsidRPr="00A07410">
                <w:rPr>
                  <w:sz w:val="28"/>
                  <w:szCs w:val="28"/>
                </w:rPr>
                <w:t>16</w:t>
              </w:r>
            </w:hyperlink>
            <w:r w:rsidR="00263F35" w:rsidRPr="00A07410">
              <w:rPr>
                <w:sz w:val="28"/>
                <w:szCs w:val="28"/>
              </w:rPr>
              <w:t>. У </w:t>
            </w:r>
            <w:hyperlink r:id="rId40" w:anchor="n230" w:tgtFrame="_blank" w:history="1">
              <w:r w:rsidR="00263F35" w:rsidRPr="00A07410">
                <w:rPr>
                  <w:sz w:val="28"/>
                  <w:szCs w:val="28"/>
                </w:rPr>
                <w:t>розділі II</w:t>
              </w:r>
            </w:hyperlink>
            <w:r w:rsidR="00263F35" w:rsidRPr="00A07410">
              <w:rPr>
                <w:sz w:val="28"/>
                <w:szCs w:val="28"/>
              </w:rPr>
              <w:t> "Прикінцеві положення":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…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11. Тимчасово, до 1 січня</w:t>
            </w:r>
            <w:r w:rsidRPr="00A07410">
              <w:rPr>
                <w:b/>
                <w:sz w:val="28"/>
                <w:szCs w:val="28"/>
              </w:rPr>
              <w:t xml:space="preserve"> 2022</w:t>
            </w:r>
            <w:r w:rsidRPr="00A07410">
              <w:rPr>
                <w:sz w:val="28"/>
                <w:szCs w:val="28"/>
              </w:rPr>
              <w:t xml:space="preserve"> року, санкції, визначені пунктом 1 статті 17 цього Закону, застосовуються в таких розмірах: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10 відсотків вартості проданих з порушеннями, встановленими цим пунктом, товарів (робіт, послуг) - за порушення, вчинене вперше;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50 відсотків вартості проданих з порушеннями, встановленими цим пунктом, товарів (робіт, послуг) - за кожне наступне вчинене порушення".</w:t>
            </w:r>
          </w:p>
        </w:tc>
        <w:tc>
          <w:tcPr>
            <w:tcW w:w="7916" w:type="dxa"/>
          </w:tcPr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</w:p>
        </w:tc>
      </w:tr>
      <w:tr w:rsidR="00BA3FF7" w:rsidRPr="00A07410" w:rsidTr="00263F35">
        <w:trPr>
          <w:gridAfter w:val="1"/>
          <w:wAfter w:w="7916" w:type="dxa"/>
        </w:trPr>
        <w:tc>
          <w:tcPr>
            <w:tcW w:w="7247" w:type="dxa"/>
          </w:tcPr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IІ. Прикінцеві та перехідні положення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bookmarkStart w:id="19" w:name="n203"/>
            <w:bookmarkEnd w:id="19"/>
            <w:r w:rsidRPr="00A07410">
              <w:rPr>
                <w:sz w:val="28"/>
                <w:szCs w:val="28"/>
              </w:rPr>
              <w:lastRenderedPageBreak/>
              <w:t>1. Цей Закон набирає чинності з 1 серпня 2020 року, крім: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…</w:t>
            </w:r>
            <w:r w:rsidRPr="00A07410">
              <w:rPr>
                <w:sz w:val="28"/>
                <w:szCs w:val="28"/>
              </w:rPr>
              <w:fldChar w:fldCharType="begin"/>
            </w:r>
            <w:r w:rsidRPr="00A07410">
              <w:rPr>
                <w:sz w:val="28"/>
                <w:szCs w:val="28"/>
              </w:rPr>
              <w:instrText xml:space="preserve"> HYPERLINK "https://zakon.rada.gov.ua/rada/show/128-20" \l "n143" </w:instrText>
            </w:r>
            <w:r w:rsidRPr="00A07410">
              <w:rPr>
                <w:sz w:val="28"/>
                <w:szCs w:val="28"/>
              </w:rPr>
              <w:fldChar w:fldCharType="separate"/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пункту 10</w:t>
            </w:r>
            <w:r w:rsidRPr="00A07410">
              <w:rPr>
                <w:sz w:val="28"/>
                <w:szCs w:val="28"/>
              </w:rPr>
              <w:fldChar w:fldCharType="end"/>
            </w:r>
            <w:r w:rsidRPr="00A07410">
              <w:rPr>
                <w:sz w:val="28"/>
                <w:szCs w:val="28"/>
              </w:rPr>
              <w:t> (щодо доповнення розділом IV-1) та </w:t>
            </w:r>
            <w:hyperlink r:id="rId41" w:anchor="n175" w:history="1">
              <w:r w:rsidRPr="00A07410">
                <w:rPr>
                  <w:sz w:val="28"/>
                  <w:szCs w:val="28"/>
                </w:rPr>
                <w:t>абзаців другого - десятого пункту 15</w:t>
              </w:r>
            </w:hyperlink>
            <w:r w:rsidRPr="00A07410">
              <w:rPr>
                <w:sz w:val="28"/>
                <w:szCs w:val="28"/>
              </w:rPr>
              <w:t xml:space="preserve"> (щодо викладення в новій редакції статті 25) підрозділу 1 розділу I цього Закону, які набирають чинності з 1 січня </w:t>
            </w:r>
            <w:r w:rsidRPr="00A07410">
              <w:rPr>
                <w:b/>
                <w:sz w:val="28"/>
                <w:szCs w:val="28"/>
              </w:rPr>
              <w:t>2021</w:t>
            </w:r>
            <w:r w:rsidRPr="00A07410">
              <w:rPr>
                <w:sz w:val="28"/>
                <w:szCs w:val="28"/>
              </w:rPr>
              <w:t xml:space="preserve"> року.</w:t>
            </w:r>
          </w:p>
        </w:tc>
        <w:tc>
          <w:tcPr>
            <w:tcW w:w="7916" w:type="dxa"/>
          </w:tcPr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lastRenderedPageBreak/>
              <w:t>IІ. Прикінцеві та перехідні положення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1. Цей Закон набирає чинності з 1 серпня 2020 року, крім:</w:t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lastRenderedPageBreak/>
              <w:t>…</w:t>
            </w:r>
            <w:r w:rsidRPr="00A07410">
              <w:rPr>
                <w:sz w:val="28"/>
                <w:szCs w:val="28"/>
              </w:rPr>
              <w:fldChar w:fldCharType="begin"/>
            </w:r>
            <w:r w:rsidRPr="00A07410">
              <w:rPr>
                <w:sz w:val="28"/>
                <w:szCs w:val="28"/>
              </w:rPr>
              <w:instrText xml:space="preserve"> HYPERLINK "https://zakon.rada.gov.ua/rada/show/128-20" \l "n143" </w:instrText>
            </w:r>
            <w:r w:rsidRPr="00A07410">
              <w:rPr>
                <w:sz w:val="28"/>
                <w:szCs w:val="28"/>
              </w:rPr>
              <w:fldChar w:fldCharType="separate"/>
            </w:r>
          </w:p>
          <w:p w:rsidR="00263F35" w:rsidRPr="00A07410" w:rsidRDefault="00263F35" w:rsidP="00263F35">
            <w:pPr>
              <w:shd w:val="clear" w:color="auto" w:fill="FFFFFF"/>
              <w:spacing w:after="150"/>
              <w:ind w:firstLine="450"/>
              <w:jc w:val="both"/>
              <w:rPr>
                <w:sz w:val="28"/>
                <w:szCs w:val="28"/>
              </w:rPr>
            </w:pPr>
            <w:r w:rsidRPr="00A07410">
              <w:rPr>
                <w:sz w:val="28"/>
                <w:szCs w:val="28"/>
              </w:rPr>
              <w:t>пункту 10</w:t>
            </w:r>
            <w:r w:rsidRPr="00A07410">
              <w:rPr>
                <w:sz w:val="28"/>
                <w:szCs w:val="28"/>
              </w:rPr>
              <w:fldChar w:fldCharType="end"/>
            </w:r>
            <w:r w:rsidRPr="00A07410">
              <w:rPr>
                <w:sz w:val="28"/>
                <w:szCs w:val="28"/>
              </w:rPr>
              <w:t> (щодо доповнення розділом IV-1) та </w:t>
            </w:r>
            <w:hyperlink r:id="rId42" w:anchor="n175" w:history="1">
              <w:r w:rsidRPr="00A07410">
                <w:rPr>
                  <w:sz w:val="28"/>
                  <w:szCs w:val="28"/>
                </w:rPr>
                <w:t>абзаців другого - десятого пункту 15</w:t>
              </w:r>
            </w:hyperlink>
            <w:r w:rsidRPr="00A07410">
              <w:rPr>
                <w:sz w:val="28"/>
                <w:szCs w:val="28"/>
              </w:rPr>
              <w:t xml:space="preserve"> (щодо викладення в новій редакції статті 25) підрозділу 1 розділу I цього Закону, які набирають чинності з 1 січня </w:t>
            </w:r>
            <w:r w:rsidRPr="00A07410">
              <w:rPr>
                <w:b/>
                <w:sz w:val="28"/>
                <w:szCs w:val="28"/>
              </w:rPr>
              <w:t>2022</w:t>
            </w:r>
            <w:r w:rsidRPr="00A07410">
              <w:rPr>
                <w:sz w:val="28"/>
                <w:szCs w:val="28"/>
              </w:rPr>
              <w:t xml:space="preserve"> року.</w:t>
            </w:r>
          </w:p>
        </w:tc>
      </w:tr>
    </w:tbl>
    <w:p w:rsidR="00DD37F5" w:rsidRPr="00A07410" w:rsidRDefault="00DD37F5">
      <w:pPr>
        <w:rPr>
          <w:rFonts w:ascii="Times New Roman" w:hAnsi="Times New Roman" w:cs="Times New Roman"/>
          <w:sz w:val="28"/>
          <w:szCs w:val="28"/>
        </w:rPr>
      </w:pPr>
    </w:p>
    <w:p w:rsidR="00263F35" w:rsidRPr="00A07410" w:rsidRDefault="00263F35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  <w:r w:rsidRPr="00A074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Народні депутати України:</w:t>
      </w:r>
    </w:p>
    <w:sectPr w:rsidR="00263F35" w:rsidRPr="00A07410" w:rsidSect="00ED34C3">
      <w:headerReference w:type="default" r:id="rId43"/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0CB" w:rsidRDefault="009450CB" w:rsidP="00A07410">
      <w:pPr>
        <w:spacing w:after="0" w:line="240" w:lineRule="auto"/>
      </w:pPr>
      <w:r>
        <w:separator/>
      </w:r>
    </w:p>
  </w:endnote>
  <w:endnote w:type="continuationSeparator" w:id="0">
    <w:p w:rsidR="009450CB" w:rsidRDefault="009450CB" w:rsidP="00A07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0CB" w:rsidRDefault="009450CB" w:rsidP="00A07410">
      <w:pPr>
        <w:spacing w:after="0" w:line="240" w:lineRule="auto"/>
      </w:pPr>
      <w:r>
        <w:separator/>
      </w:r>
    </w:p>
  </w:footnote>
  <w:footnote w:type="continuationSeparator" w:id="0">
    <w:p w:rsidR="009450CB" w:rsidRDefault="009450CB" w:rsidP="00A07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4886031"/>
      <w:docPartObj>
        <w:docPartGallery w:val="Page Numbers (Top of Page)"/>
        <w:docPartUnique/>
      </w:docPartObj>
    </w:sdtPr>
    <w:sdtEndPr/>
    <w:sdtContent>
      <w:p w:rsidR="00A07410" w:rsidRDefault="00A074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3B">
          <w:rPr>
            <w:noProof/>
          </w:rPr>
          <w:t>2</w:t>
        </w:r>
        <w:r>
          <w:fldChar w:fldCharType="end"/>
        </w:r>
      </w:p>
    </w:sdtContent>
  </w:sdt>
  <w:p w:rsidR="00A07410" w:rsidRDefault="00A074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C3"/>
    <w:rsid w:val="00263F35"/>
    <w:rsid w:val="00285E3E"/>
    <w:rsid w:val="0031553B"/>
    <w:rsid w:val="004137F5"/>
    <w:rsid w:val="007814F0"/>
    <w:rsid w:val="00880D06"/>
    <w:rsid w:val="009450CB"/>
    <w:rsid w:val="00A07410"/>
    <w:rsid w:val="00B26EF5"/>
    <w:rsid w:val="00BA3FF7"/>
    <w:rsid w:val="00DD37F5"/>
    <w:rsid w:val="00E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DF12"/>
  <w15:chartTrackingRefBased/>
  <w15:docId w15:val="{3A63BA85-9ED4-416E-9A01-362F7D91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D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D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D34C3"/>
    <w:rPr>
      <w:color w:val="0000FF"/>
      <w:u w:val="single"/>
    </w:rPr>
  </w:style>
  <w:style w:type="character" w:customStyle="1" w:styleId="rvts46">
    <w:name w:val="rvts46"/>
    <w:basedOn w:val="a0"/>
    <w:rsid w:val="00263F35"/>
  </w:style>
  <w:style w:type="character" w:customStyle="1" w:styleId="rvts11">
    <w:name w:val="rvts11"/>
    <w:basedOn w:val="a0"/>
    <w:rsid w:val="00263F35"/>
  </w:style>
  <w:style w:type="character" w:customStyle="1" w:styleId="rvts37">
    <w:name w:val="rvts37"/>
    <w:basedOn w:val="a0"/>
    <w:rsid w:val="00263F35"/>
  </w:style>
  <w:style w:type="paragraph" w:styleId="a5">
    <w:name w:val="header"/>
    <w:basedOn w:val="a"/>
    <w:link w:val="a6"/>
    <w:uiPriority w:val="99"/>
    <w:unhideWhenUsed/>
    <w:rsid w:val="00A074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07410"/>
  </w:style>
  <w:style w:type="paragraph" w:styleId="a7">
    <w:name w:val="footer"/>
    <w:basedOn w:val="a"/>
    <w:link w:val="a8"/>
    <w:uiPriority w:val="99"/>
    <w:unhideWhenUsed/>
    <w:rsid w:val="00A074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07410"/>
  </w:style>
  <w:style w:type="paragraph" w:styleId="a9">
    <w:name w:val="Balloon Text"/>
    <w:basedOn w:val="a"/>
    <w:link w:val="aa"/>
    <w:uiPriority w:val="99"/>
    <w:semiHidden/>
    <w:unhideWhenUsed/>
    <w:rsid w:val="00A07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07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rada/show/2755-17" TargetMode="External"/><Relationship Id="rId18" Type="http://schemas.openxmlformats.org/officeDocument/2006/relationships/hyperlink" Target="https://zakon.rada.gov.ua/rada/show/129-20" TargetMode="External"/><Relationship Id="rId26" Type="http://schemas.openxmlformats.org/officeDocument/2006/relationships/hyperlink" Target="https://zakon.rada.gov.ua/rada/show/129-20" TargetMode="External"/><Relationship Id="rId39" Type="http://schemas.openxmlformats.org/officeDocument/2006/relationships/hyperlink" Target="https://zakon.rada.gov.ua/rada/show/128-20" TargetMode="External"/><Relationship Id="rId21" Type="http://schemas.openxmlformats.org/officeDocument/2006/relationships/hyperlink" Target="https://zakon.rada.gov.ua/rada/show/2755-17" TargetMode="External"/><Relationship Id="rId34" Type="http://schemas.openxmlformats.org/officeDocument/2006/relationships/hyperlink" Target="https://zakon.rada.gov.ua/rada/show/129-20" TargetMode="External"/><Relationship Id="rId42" Type="http://schemas.openxmlformats.org/officeDocument/2006/relationships/hyperlink" Target="https://zakon.rada.gov.ua/rada/show/128-20" TargetMode="External"/><Relationship Id="rId7" Type="http://schemas.openxmlformats.org/officeDocument/2006/relationships/hyperlink" Target="https://zakon.rada.gov.ua/laws/show/265/95-%D0%B2%D1%8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rada/show/129-20" TargetMode="External"/><Relationship Id="rId29" Type="http://schemas.openxmlformats.org/officeDocument/2006/relationships/hyperlink" Target="https://zakon.rada.gov.ua/rada/show/2755-17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vb457609-10" TargetMode="External"/><Relationship Id="rId11" Type="http://schemas.openxmlformats.org/officeDocument/2006/relationships/hyperlink" Target="https://zakon.rada.gov.ua/rada/show/2755-17" TargetMode="External"/><Relationship Id="rId24" Type="http://schemas.openxmlformats.org/officeDocument/2006/relationships/hyperlink" Target="https://zakon.rada.gov.ua/rada/show/129-20" TargetMode="External"/><Relationship Id="rId32" Type="http://schemas.openxmlformats.org/officeDocument/2006/relationships/hyperlink" Target="https://zakon.rada.gov.ua/rada/show/129-20" TargetMode="External"/><Relationship Id="rId37" Type="http://schemas.openxmlformats.org/officeDocument/2006/relationships/hyperlink" Target="https://zakon.rada.gov.ua/rada/show/128-20" TargetMode="External"/><Relationship Id="rId40" Type="http://schemas.openxmlformats.org/officeDocument/2006/relationships/hyperlink" Target="https://zakon.rada.gov.ua/rada/show/265/95-%D0%B2%D1%80" TargetMode="Externa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zakon.rada.gov.ua/rada/show/2755-17" TargetMode="External"/><Relationship Id="rId23" Type="http://schemas.openxmlformats.org/officeDocument/2006/relationships/hyperlink" Target="https://zakon.rada.gov.ua/rada/show/2755-17" TargetMode="External"/><Relationship Id="rId28" Type="http://schemas.openxmlformats.org/officeDocument/2006/relationships/hyperlink" Target="https://zakon.rada.gov.ua/rada/show/129-20" TargetMode="External"/><Relationship Id="rId36" Type="http://schemas.openxmlformats.org/officeDocument/2006/relationships/hyperlink" Target="https://zakon.rada.gov.ua/rada/show/128-20" TargetMode="External"/><Relationship Id="rId10" Type="http://schemas.openxmlformats.org/officeDocument/2006/relationships/hyperlink" Target="https://zakon.rada.gov.ua/rada/show/129-20" TargetMode="External"/><Relationship Id="rId19" Type="http://schemas.openxmlformats.org/officeDocument/2006/relationships/hyperlink" Target="https://zakon.rada.gov.ua/rada/show/2755-17" TargetMode="External"/><Relationship Id="rId31" Type="http://schemas.openxmlformats.org/officeDocument/2006/relationships/hyperlink" Target="https://zakon.rada.gov.ua/rada/show/2755-17" TargetMode="Externa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rada/show/2755-17" TargetMode="External"/><Relationship Id="rId14" Type="http://schemas.openxmlformats.org/officeDocument/2006/relationships/hyperlink" Target="https://zakon.rada.gov.ua/rada/show/129-20" TargetMode="External"/><Relationship Id="rId22" Type="http://schemas.openxmlformats.org/officeDocument/2006/relationships/hyperlink" Target="https://zakon.rada.gov.ua/rada/show/129-20" TargetMode="External"/><Relationship Id="rId27" Type="http://schemas.openxmlformats.org/officeDocument/2006/relationships/hyperlink" Target="https://zakon.rada.gov.ua/rada/show/2755-17" TargetMode="External"/><Relationship Id="rId30" Type="http://schemas.openxmlformats.org/officeDocument/2006/relationships/hyperlink" Target="https://zakon.rada.gov.ua/rada/show/129-20" TargetMode="External"/><Relationship Id="rId35" Type="http://schemas.openxmlformats.org/officeDocument/2006/relationships/hyperlink" Target="https://zakon.rada.gov.ua/rada/show/2755-17" TargetMode="External"/><Relationship Id="rId43" Type="http://schemas.openxmlformats.org/officeDocument/2006/relationships/header" Target="header1.xml"/><Relationship Id="rId8" Type="http://schemas.openxmlformats.org/officeDocument/2006/relationships/hyperlink" Target="https://zakon.rada.gov.ua/laws/show/vb457609-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rada/show/129-20" TargetMode="External"/><Relationship Id="rId17" Type="http://schemas.openxmlformats.org/officeDocument/2006/relationships/hyperlink" Target="https://zakon.rada.gov.ua/rada/show/2755-17" TargetMode="External"/><Relationship Id="rId25" Type="http://schemas.openxmlformats.org/officeDocument/2006/relationships/hyperlink" Target="https://zakon.rada.gov.ua/rada/show/2755-17" TargetMode="External"/><Relationship Id="rId33" Type="http://schemas.openxmlformats.org/officeDocument/2006/relationships/hyperlink" Target="https://zakon.rada.gov.ua/rada/show/2755-17" TargetMode="External"/><Relationship Id="rId38" Type="http://schemas.openxmlformats.org/officeDocument/2006/relationships/hyperlink" Target="https://zakon.rada.gov.ua/rada/show/265/95-%D0%B2%D1%80" TargetMode="External"/><Relationship Id="rId20" Type="http://schemas.openxmlformats.org/officeDocument/2006/relationships/hyperlink" Target="https://zakon.rada.gov.ua/rada/show/129-20" TargetMode="External"/><Relationship Id="rId41" Type="http://schemas.openxmlformats.org/officeDocument/2006/relationships/hyperlink" Target="https://zakon.rada.gov.ua/rada/show/128-2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6473</Words>
  <Characters>3690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Гречана Тетяна Володимирівна</dc:creator>
  <cp:keywords/>
  <dc:description/>
  <cp:lastModifiedBy>Топорецька Зоряна Миколаївна</cp:lastModifiedBy>
  <cp:revision>3</cp:revision>
  <cp:lastPrinted>2020-11-03T12:33:00Z</cp:lastPrinted>
  <dcterms:created xsi:type="dcterms:W3CDTF">2020-11-03T12:33:00Z</dcterms:created>
  <dcterms:modified xsi:type="dcterms:W3CDTF">2020-11-03T12:38:00Z</dcterms:modified>
</cp:coreProperties>
</file>