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E4187F" w:rsidRPr="00661CE4" w:rsidP="00E4187F">
      <w:pPr>
        <w:bidi w:val="0"/>
        <w:ind w:firstLine="426"/>
        <w:jc w:val="center"/>
        <w:rPr>
          <w:rFonts w:ascii="Times New Roman" w:hAnsi="Times New Roman" w:cs="Times New Roman"/>
          <w:lang w:val="uk-UA" w:eastAsia="ru-RU"/>
        </w:rPr>
      </w:pPr>
      <w:r w:rsidRPr="00661CE4">
        <w:rPr>
          <w:rFonts w:ascii="Times New Roman" w:hAnsi="Times New Roman" w:cs="Times New Roman"/>
          <w:b/>
          <w:bCs/>
          <w:color w:val="000000"/>
          <w:sz w:val="28"/>
          <w:szCs w:val="28"/>
          <w:lang w:val="uk-UA" w:eastAsia="ru-RU"/>
        </w:rPr>
        <w:t>ПОЯСНЮВАЛЬНА ЗАПИСКА</w:t>
      </w:r>
    </w:p>
    <w:p w:rsidR="00E4187F" w:rsidRPr="00661CE4" w:rsidP="00E4187F">
      <w:pPr>
        <w:bidi w:val="0"/>
        <w:ind w:firstLine="426"/>
        <w:jc w:val="center"/>
        <w:rPr>
          <w:rFonts w:ascii="Times New Roman" w:hAnsi="Times New Roman" w:cs="Times New Roman"/>
          <w:lang w:val="uk-UA" w:eastAsia="ru-RU"/>
        </w:rPr>
      </w:pPr>
      <w:r w:rsidRPr="00661CE4">
        <w:rPr>
          <w:rFonts w:ascii="Times New Roman" w:hAnsi="Times New Roman" w:cs="Times New Roman"/>
          <w:b/>
          <w:bCs/>
          <w:color w:val="000000"/>
          <w:sz w:val="28"/>
          <w:szCs w:val="28"/>
          <w:lang w:val="uk-UA" w:eastAsia="ru-RU"/>
        </w:rPr>
        <w:t>до проекту Закону України</w:t>
      </w:r>
    </w:p>
    <w:p w:rsidR="00E4187F" w:rsidRPr="00661CE4" w:rsidP="00E4187F">
      <w:pPr>
        <w:bidi w:val="0"/>
        <w:ind w:firstLine="426"/>
        <w:jc w:val="center"/>
        <w:rPr>
          <w:rFonts w:ascii="Times New Roman" w:hAnsi="Times New Roman" w:cs="Times New Roman"/>
          <w:lang w:val="uk-UA" w:eastAsia="ru-RU"/>
        </w:rPr>
      </w:pPr>
      <w:r w:rsidRPr="00661CE4">
        <w:rPr>
          <w:rFonts w:ascii="Times New Roman" w:hAnsi="Times New Roman" w:cs="Times New Roman"/>
          <w:b/>
          <w:bCs/>
          <w:color w:val="000000"/>
          <w:sz w:val="28"/>
          <w:szCs w:val="28"/>
          <w:lang w:val="uk-UA" w:eastAsia="ru-RU"/>
        </w:rPr>
        <w:t> «Про місто Київ – столицю України»</w:t>
      </w:r>
    </w:p>
    <w:p w:rsidR="00E4187F" w:rsidRPr="00661CE4" w:rsidP="00E4187F">
      <w:pPr>
        <w:bidi w:val="0"/>
        <w:rPr>
          <w:rFonts w:ascii="Times New Roman" w:hAnsi="Times New Roman" w:cs="Times New Roman"/>
          <w:lang w:val="uk-UA" w:eastAsia="ru-RU"/>
        </w:rPr>
      </w:pPr>
    </w:p>
    <w:p w:rsidR="00E4187F" w:rsidRPr="00661CE4" w:rsidP="00E4187F">
      <w:pPr>
        <w:numPr>
          <w:numId w:val="1"/>
        </w:numPr>
        <w:bidi w:val="0"/>
        <w:ind w:left="786"/>
        <w:jc w:val="both"/>
        <w:textAlignment w:val="baseline"/>
        <w:rPr>
          <w:rFonts w:ascii="Times New Roman" w:hAnsi="Times New Roman" w:cs="Times New Roman"/>
          <w:b/>
          <w:bCs/>
          <w:color w:val="000000"/>
          <w:sz w:val="28"/>
          <w:szCs w:val="28"/>
          <w:lang w:val="uk-UA" w:eastAsia="ru-RU"/>
        </w:rPr>
      </w:pPr>
      <w:r w:rsidRPr="00661CE4">
        <w:rPr>
          <w:rFonts w:ascii="Times New Roman" w:hAnsi="Times New Roman" w:cs="Times New Roman"/>
          <w:b/>
          <w:bCs/>
          <w:color w:val="000000"/>
          <w:sz w:val="28"/>
          <w:szCs w:val="28"/>
          <w:lang w:val="uk-UA" w:eastAsia="ru-RU"/>
        </w:rPr>
        <w:t>Обґрунтування необхідності прийняття законопроекту</w:t>
      </w:r>
    </w:p>
    <w:p w:rsidR="00E4187F" w:rsidRPr="00661CE4" w:rsidP="00E4187F">
      <w:pPr>
        <w:bidi w:val="0"/>
        <w:spacing w:before="10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Відповідно до частини сьомої статті 20 Конституції України місто Київ є столицею України, яке, згідно з частиною третьою статті 133 Конституції України,  має спеціальний статус, який визначається законами України. Крім того, ряд положень Конституції України визначають особливе правове регулювання статусу міста Києва, зокрема:</w:t>
      </w:r>
    </w:p>
    <w:p w:rsidR="00E4187F" w:rsidRPr="00661CE4" w:rsidP="00E4187F">
      <w:pPr>
        <w:numPr>
          <w:numId w:val="2"/>
        </w:numPr>
        <w:bidi w:val="0"/>
        <w:spacing w:before="10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пункт 16 частини першої статті 92 наголошує, що статус столиці України визначається виключно законами; </w:t>
      </w:r>
    </w:p>
    <w:p w:rsidR="00E4187F" w:rsidRPr="00661CE4" w:rsidP="00E4187F">
      <w:pPr>
        <w:numPr>
          <w:numId w:val="2"/>
        </w:numPr>
        <w:bidi w:val="0"/>
        <w:spacing w:before="10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частина друга статті 118 визначає, що особливості здійснення виконавчої влади у місті Києві визначається окремими законами України;</w:t>
      </w:r>
    </w:p>
    <w:p w:rsidR="00E4187F" w:rsidRPr="00661CE4" w:rsidP="00E4187F">
      <w:pPr>
        <w:numPr>
          <w:numId w:val="2"/>
        </w:numPr>
        <w:bidi w:val="0"/>
        <w:spacing w:before="10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частина третя статті 133 гарантує місту Києву спеціальний статус, який визначається законами України;</w:t>
      </w:r>
    </w:p>
    <w:p w:rsidR="00E4187F" w:rsidRPr="00661CE4" w:rsidP="00E4187F">
      <w:pPr>
        <w:numPr>
          <w:numId w:val="2"/>
        </w:numPr>
        <w:bidi w:val="0"/>
        <w:spacing w:before="10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частина друга статті 140 вказує, що особливості здійснення місцевого самоврядування в місті Києві визначається окремими законами України.</w:t>
      </w:r>
    </w:p>
    <w:p w:rsidR="00E4187F" w:rsidRPr="00661CE4" w:rsidP="00E4187F">
      <w:pPr>
        <w:bidi w:val="0"/>
        <w:spacing w:before="10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Прийнятий 15 січня 1999 року Верховною Радою України Закон України «Про столицю України - місто-герой Київ» був покликаний визначити спеціальний статус міста Києва як столиці України, та врегулювати особливості здійснення  виконавчої  влади  та  місцевого самоврядування у   місті   відповідно   до   Конституції   України. Однак, натомість, правовий механізм, який був закладений у цьому законі, містив безліч колізій та суперечностей, які робили незрозумілим правовий статус та взаємовідносини між органами державної влади та місцевого самоврядування міста Києва та ускладнювали можливість здійснення ефективного врядування в місті. </w:t>
      </w:r>
    </w:p>
    <w:p w:rsidR="00E4187F" w:rsidRPr="00661CE4" w:rsidP="00E4187F">
      <w:pPr>
        <w:bidi w:val="0"/>
        <w:spacing w:before="10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Внаслідок прийняття Закону України «Про внесення змін до Закону України «Про столицю України місто-герой Київ» щодо порядку утворення районних рад» від 07.09.2010 р., № 2500-VI, наявна система організації місцевого самоврядування та здійснення виконавчої влади у столиці України місті Києві була повністю зруйнованою: представництво територіальних громад районів міста Києва було ліквідовано, і в руках одного посадовця по суті сконцентрована надмірна влада, що повністю суперечить принципу поділу влади в Україні. </w:t>
      </w:r>
    </w:p>
    <w:p w:rsidR="00E4187F" w:rsidRPr="00661CE4" w:rsidP="00E4187F">
      <w:pPr>
        <w:bidi w:val="0"/>
        <w:spacing w:before="10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У підготовленому законопроекті пропонується шляхом прийняття нового Зак</w:t>
      </w:r>
      <w:r w:rsidR="00661CE4">
        <w:rPr>
          <w:rFonts w:ascii="Times New Roman" w:hAnsi="Times New Roman" w:cs="Times New Roman"/>
          <w:color w:val="000000"/>
          <w:sz w:val="28"/>
          <w:szCs w:val="28"/>
          <w:lang w:val="uk-UA" w:eastAsia="ru-RU"/>
        </w:rPr>
        <w:t xml:space="preserve">ону та втрати чинності існуючим  Законом України </w:t>
      </w:r>
      <w:r w:rsidRPr="00661CE4">
        <w:rPr>
          <w:rFonts w:ascii="Times New Roman" w:hAnsi="Times New Roman" w:cs="Times New Roman"/>
          <w:color w:val="000000"/>
          <w:sz w:val="28"/>
          <w:szCs w:val="28"/>
          <w:lang w:val="uk-UA" w:eastAsia="ru-RU"/>
        </w:rPr>
        <w:t>“Про столицю України-місто-герой Київ” виправити існуючий незадовільний стан організації органів державної влади та місцевого самоврядування  в Києві через запровадження відповідно до Конституції України більш ефективного правового механізму поділу влади в столиці України. </w:t>
      </w:r>
    </w:p>
    <w:p w:rsidR="00E4187F" w:rsidRPr="00661CE4" w:rsidP="00E4187F">
      <w:pPr>
        <w:bidi w:val="0"/>
        <w:rPr>
          <w:rFonts w:ascii="Times New Roman" w:hAnsi="Times New Roman" w:cs="Times New Roman"/>
          <w:lang w:val="uk-UA" w:eastAsia="ru-RU"/>
        </w:rPr>
      </w:pPr>
    </w:p>
    <w:p w:rsidR="00E4187F" w:rsidRPr="00661CE4" w:rsidP="00E4187F">
      <w:pPr>
        <w:numPr>
          <w:numId w:val="3"/>
        </w:numPr>
        <w:bidi w:val="0"/>
        <w:jc w:val="both"/>
        <w:textAlignment w:val="baseline"/>
        <w:rPr>
          <w:rFonts w:ascii="Times New Roman" w:hAnsi="Times New Roman" w:cs="Times New Roman"/>
          <w:b/>
          <w:bCs/>
          <w:color w:val="000000"/>
          <w:sz w:val="28"/>
          <w:szCs w:val="28"/>
          <w:lang w:val="uk-UA" w:eastAsia="ru-RU"/>
        </w:rPr>
      </w:pPr>
      <w:r w:rsidRPr="00661CE4">
        <w:rPr>
          <w:rFonts w:ascii="Times New Roman" w:hAnsi="Times New Roman" w:cs="Times New Roman"/>
          <w:b/>
          <w:bCs/>
          <w:color w:val="000000"/>
          <w:sz w:val="28"/>
          <w:szCs w:val="28"/>
          <w:lang w:val="uk-UA" w:eastAsia="ru-RU"/>
        </w:rPr>
        <w:t>Мета законопроекту</w:t>
      </w:r>
    </w:p>
    <w:p w:rsidR="00E4187F" w:rsidRPr="00661CE4" w:rsidP="00E4187F">
      <w:pPr>
        <w:bidi w:val="0"/>
        <w:spacing w:after="16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shd w:val="clear" w:color="auto" w:fill="FFFFFF"/>
          <w:lang w:val="uk-UA" w:eastAsia="ru-RU"/>
        </w:rPr>
        <w:t>Метою законопроекту є оптимізація системи органів місцевого самоврядування та виконавчої влади в столиці України місті Києві через уточнення повноважень цих органів, а також закладення в систему управління столицею України ефективного механізму стримувань і противаг, що унеможливлює узурпацію влади однією посадовою особою. </w:t>
      </w:r>
    </w:p>
    <w:p w:rsidR="00E4187F" w:rsidRPr="00661CE4" w:rsidP="00E4187F">
      <w:pPr>
        <w:bidi w:val="0"/>
        <w:rPr>
          <w:rFonts w:ascii="Times New Roman" w:hAnsi="Times New Roman" w:cs="Times New Roman"/>
          <w:lang w:val="uk-UA" w:eastAsia="ru-RU"/>
        </w:rPr>
      </w:pPr>
    </w:p>
    <w:p w:rsidR="00E4187F" w:rsidRPr="00661CE4" w:rsidP="00E4187F">
      <w:pPr>
        <w:numPr>
          <w:numId w:val="4"/>
        </w:numPr>
        <w:bidi w:val="0"/>
        <w:jc w:val="both"/>
        <w:textAlignment w:val="baseline"/>
        <w:rPr>
          <w:rFonts w:ascii="Times New Roman" w:hAnsi="Times New Roman" w:cs="Times New Roman"/>
          <w:b/>
          <w:bCs/>
          <w:color w:val="000000"/>
          <w:sz w:val="28"/>
          <w:szCs w:val="28"/>
          <w:lang w:val="uk-UA" w:eastAsia="ru-RU"/>
        </w:rPr>
      </w:pPr>
      <w:r w:rsidRPr="00661CE4">
        <w:rPr>
          <w:rFonts w:ascii="Times New Roman" w:hAnsi="Times New Roman" w:cs="Times New Roman"/>
          <w:b/>
          <w:bCs/>
          <w:color w:val="000000"/>
          <w:sz w:val="28"/>
          <w:szCs w:val="28"/>
          <w:lang w:val="uk-UA" w:eastAsia="ru-RU"/>
        </w:rPr>
        <w:t>Загальна характеристика та основні положення проекту Закону</w:t>
      </w: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Відповідно до Конституції України, законопроект створює нову систему організації та здійснення місцевого самоврядування і виконавчої влади в столиці України. </w:t>
      </w: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Зокрема, пропонується відновити районні ради у місті Києві як представницькі органи жителів районів Києва. Пропонується розділити повноваження та розмежувати посади Київського міського голови та голови Київської міської державної адміністрації. Так, Київський міський голова буде очолювати Київський магістрат – виконавчий орган Київської міської ради, головувати на засіданнях Київської міської ради, а голова Київської міської державної адміністрації буде здійснювати нагляд за додержанням Конституції і законів України органами місцевого самоврядування та координувати діяльність територіальних органів центральних органів виконавчої влади;</w:t>
      </w: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Також проектом комплексно врегульовано питання щодо правового статусу міста Києва та особливостей місцевого самоврядування, у тому числі:</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спеціальний статус Києва; </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реалізація столичних функцій міста Києва;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адміністративно-територіальний устрій міста Києва;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організація міського життя на засадах сталого розвитку міста;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 xml:space="preserve">взаємодія </w:t>
      </w:r>
      <w:r w:rsidRPr="00661CE4">
        <w:rPr>
          <w:rFonts w:ascii="Times New Roman" w:hAnsi="Times New Roman" w:cs="Times New Roman"/>
          <w:color w:val="000000"/>
          <w:sz w:val="28"/>
          <w:szCs w:val="28"/>
          <w:shd w:val="clear" w:color="auto" w:fill="FFFFFF"/>
          <w:lang w:val="uk-UA" w:eastAsia="ru-RU"/>
        </w:rPr>
        <w:t>територіальної громади міста Києва та територіальних громад населених пунктів Київської області;</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shd w:val="clear" w:color="auto" w:fill="FFFFFF"/>
          <w:lang w:val="uk-UA" w:eastAsia="ru-RU"/>
        </w:rPr>
        <w:t>місцеве самоврядування в місті Києві;</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статус Київського міського голови та його заступника з фінансових питань, заступника Київського міського голови - керуючого справами Київського міського магістрату та заступника Київського міського голови - Головного архітектора міста Києва;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порядок забезпечення головою Київської міської державної адміністрації дотримання у місті Києві Конституції та законів України;</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стратегічне планування в місті Києві;</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стратегічні документи з розвитку міста Києва;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інформаційні системи міста Києва;</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механізм контролю, аудиту та моніторингу в місті;</w:t>
      </w:r>
    </w:p>
    <w:p w:rsidR="00E4187F" w:rsidRPr="00661CE4" w:rsidP="00E4187F">
      <w:pPr>
        <w:numPr>
          <w:numId w:val="5"/>
        </w:numPr>
        <w:bidi w:val="0"/>
        <w:ind w:left="786"/>
        <w:jc w:val="both"/>
        <w:textAlignment w:val="baseline"/>
        <w:rPr>
          <w:rFonts w:ascii="Times New Roman" w:hAnsi="Times New Roman" w:cs="Times New Roman"/>
          <w:color w:val="000000"/>
          <w:sz w:val="28"/>
          <w:szCs w:val="28"/>
          <w:lang w:val="uk-UA" w:eastAsia="ru-RU"/>
        </w:rPr>
      </w:pPr>
      <w:r w:rsidRPr="00661CE4">
        <w:rPr>
          <w:rFonts w:ascii="Times New Roman" w:hAnsi="Times New Roman" w:cs="Times New Roman"/>
          <w:color w:val="000000"/>
          <w:sz w:val="28"/>
          <w:szCs w:val="28"/>
          <w:lang w:val="uk-UA" w:eastAsia="ru-RU"/>
        </w:rPr>
        <w:t>функціонування Ратуші як єдиного вікна надання послуг.  </w:t>
      </w:r>
    </w:p>
    <w:p w:rsidR="00E4187F" w:rsidP="00E4187F">
      <w:pPr>
        <w:bidi w:val="0"/>
        <w:rPr>
          <w:rFonts w:ascii="Times New Roman" w:hAnsi="Times New Roman" w:cs="Times New Roman"/>
          <w:lang w:val="uk-UA" w:eastAsia="ru-RU"/>
        </w:rPr>
      </w:pPr>
    </w:p>
    <w:p w:rsidR="00661CE4" w:rsidRPr="00661CE4" w:rsidP="00E4187F">
      <w:pPr>
        <w:bidi w:val="0"/>
        <w:rPr>
          <w:rFonts w:ascii="Times New Roman" w:hAnsi="Times New Roman" w:cs="Times New Roman"/>
          <w:lang w:val="uk-UA" w:eastAsia="ru-RU"/>
        </w:rPr>
      </w:pPr>
    </w:p>
    <w:p w:rsidR="00E4187F" w:rsidRPr="00661CE4" w:rsidP="00E4187F">
      <w:pPr>
        <w:numPr>
          <w:numId w:val="6"/>
        </w:numPr>
        <w:bidi w:val="0"/>
        <w:jc w:val="both"/>
        <w:textAlignment w:val="baseline"/>
        <w:rPr>
          <w:rFonts w:ascii="Times New Roman" w:hAnsi="Times New Roman" w:cs="Times New Roman"/>
          <w:b/>
          <w:bCs/>
          <w:color w:val="000000"/>
          <w:sz w:val="28"/>
          <w:szCs w:val="28"/>
          <w:lang w:val="uk-UA" w:eastAsia="ru-RU"/>
        </w:rPr>
      </w:pPr>
      <w:r w:rsidRPr="00661CE4">
        <w:rPr>
          <w:rFonts w:ascii="Times New Roman" w:hAnsi="Times New Roman" w:cs="Times New Roman"/>
          <w:b/>
          <w:bCs/>
          <w:color w:val="000000"/>
          <w:sz w:val="28"/>
          <w:szCs w:val="28"/>
          <w:lang w:val="uk-UA" w:eastAsia="ru-RU"/>
        </w:rPr>
        <w:t>Стан нормативно-правової бази у сфері правового регулювання</w:t>
      </w: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 xml:space="preserve">Основними нормативно-правовими актами, які регулюють зазначене питання, є: Конституція України, </w:t>
      </w:r>
      <w:r w:rsidR="007C6BB0">
        <w:rPr>
          <w:rFonts w:ascii="Times New Roman" w:hAnsi="Times New Roman" w:cs="Times New Roman"/>
          <w:color w:val="000000"/>
          <w:sz w:val="28"/>
          <w:szCs w:val="28"/>
          <w:lang w:val="uk-UA" w:eastAsia="ru-RU"/>
        </w:rPr>
        <w:t xml:space="preserve">Європейська хартія місцевого самоврядування, </w:t>
      </w:r>
      <w:r w:rsidRPr="00661CE4">
        <w:rPr>
          <w:rFonts w:ascii="Times New Roman" w:hAnsi="Times New Roman" w:cs="Times New Roman"/>
          <w:color w:val="000000"/>
          <w:sz w:val="28"/>
          <w:szCs w:val="28"/>
          <w:lang w:val="uk-UA" w:eastAsia="ru-RU"/>
        </w:rPr>
        <w:t>Закони України «Про місцеве самоврядування в Україні», «Про столицю України – місто-герой Київ», «Про місцеві державні адміністрації», «Про місцеві вибори». </w:t>
      </w:r>
    </w:p>
    <w:p w:rsidR="00E4187F" w:rsidRPr="00661CE4" w:rsidP="00E4187F">
      <w:pPr>
        <w:bidi w:val="0"/>
        <w:rPr>
          <w:rFonts w:ascii="Times New Roman" w:hAnsi="Times New Roman" w:cs="Times New Roman"/>
          <w:lang w:val="uk-UA" w:eastAsia="ru-RU"/>
        </w:rPr>
      </w:pPr>
    </w:p>
    <w:p w:rsidR="00E4187F" w:rsidRPr="00661CE4" w:rsidP="00E4187F">
      <w:pPr>
        <w:numPr>
          <w:numId w:val="7"/>
        </w:numPr>
        <w:bidi w:val="0"/>
        <w:jc w:val="both"/>
        <w:textAlignment w:val="baseline"/>
        <w:rPr>
          <w:rFonts w:ascii="Times New Roman" w:hAnsi="Times New Roman" w:cs="Times New Roman"/>
          <w:b/>
          <w:bCs/>
          <w:color w:val="000000"/>
          <w:sz w:val="28"/>
          <w:szCs w:val="28"/>
          <w:lang w:val="uk-UA" w:eastAsia="ru-RU"/>
        </w:rPr>
      </w:pPr>
      <w:r w:rsidRPr="00661CE4">
        <w:rPr>
          <w:rFonts w:ascii="Times New Roman" w:hAnsi="Times New Roman" w:cs="Times New Roman"/>
          <w:b/>
          <w:bCs/>
          <w:color w:val="000000"/>
          <w:sz w:val="28"/>
          <w:szCs w:val="28"/>
          <w:lang w:val="uk-UA" w:eastAsia="ru-RU"/>
        </w:rPr>
        <w:t>Фінансово-економічне обґрунтування законопроекту</w:t>
      </w: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Прийняття проекту Закону України «Про внесення змін до Закону України «Про столицю України – місто-герой Київ» не призведе до зміни показників Державного бюджету України. </w:t>
      </w:r>
    </w:p>
    <w:p w:rsidR="00E4187F" w:rsidRPr="00661CE4" w:rsidP="00E4187F">
      <w:pPr>
        <w:bidi w:val="0"/>
        <w:rPr>
          <w:rFonts w:ascii="Times New Roman" w:hAnsi="Times New Roman" w:cs="Times New Roman"/>
          <w:lang w:val="uk-UA" w:eastAsia="ru-RU"/>
        </w:rPr>
      </w:pP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b/>
          <w:bCs/>
          <w:color w:val="000000"/>
          <w:sz w:val="28"/>
          <w:szCs w:val="28"/>
          <w:lang w:val="uk-UA" w:eastAsia="ru-RU"/>
        </w:rPr>
        <w:t>6. Очікувані правові та соціальні наслідки прийняття законопроекту </w:t>
      </w:r>
    </w:p>
    <w:p w:rsidR="00E4187F" w:rsidRPr="00661CE4" w:rsidP="00E4187F">
      <w:pPr>
        <w:bidi w:val="0"/>
        <w:spacing w:before="60"/>
        <w:ind w:firstLine="720"/>
        <w:jc w:val="both"/>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Прийняття законопроекту забезпечуватиме належне функціонування органів місцевого самоврядування та органів виконавчої влади в місті Києві, створить ефективний баланс повноважень між представницькими та виконавчими органами влади в столиці України, сприятиме узгодженню державних інтересів та місцевих інтересів територіальної громади міста Києва, гарантуватиме права мешканців міста на самоврядування стосовно можливості самостійно вирішувати питання місцевого значення в межах Конституції і законів України.</w:t>
      </w:r>
    </w:p>
    <w:p w:rsidR="00E4187F" w:rsidRPr="00661CE4" w:rsidP="00E4187F">
      <w:pPr>
        <w:bidi w:val="0"/>
        <w:rPr>
          <w:rFonts w:ascii="Times New Roman" w:hAnsi="Times New Roman" w:cs="Times New Roman"/>
          <w:lang w:val="uk-UA" w:eastAsia="ru-RU"/>
        </w:rPr>
      </w:pPr>
    </w:p>
    <w:p w:rsidR="00E4187F" w:rsidRPr="00661CE4" w:rsidP="00E4187F">
      <w:pPr>
        <w:bidi w:val="0"/>
        <w:ind w:firstLine="426"/>
        <w:jc w:val="both"/>
        <w:rPr>
          <w:rFonts w:ascii="Times New Roman" w:hAnsi="Times New Roman" w:cs="Times New Roman"/>
          <w:lang w:val="uk-UA" w:eastAsia="ru-RU"/>
        </w:rPr>
      </w:pPr>
      <w:r w:rsidRPr="00661CE4">
        <w:rPr>
          <w:rFonts w:ascii="Times New Roman" w:hAnsi="Times New Roman" w:cs="Times New Roman"/>
          <w:b/>
          <w:bCs/>
          <w:color w:val="000000"/>
          <w:sz w:val="28"/>
          <w:szCs w:val="28"/>
          <w:lang w:val="uk-UA" w:eastAsia="ru-RU"/>
        </w:rPr>
        <w:t>Народні депутати України:</w:t>
      </w:r>
    </w:p>
    <w:p w:rsidR="00E4187F" w:rsidRPr="00661CE4" w:rsidP="00E4187F">
      <w:pPr>
        <w:bidi w:val="0"/>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 </w:t>
      </w:r>
    </w:p>
    <w:p w:rsidR="00E4187F" w:rsidRPr="00661CE4" w:rsidP="00E4187F">
      <w:pPr>
        <w:bidi w:val="0"/>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Ткаченко Олександр Владиславович</w:t>
      </w:r>
    </w:p>
    <w:p w:rsidR="00661CE4" w:rsidP="00E4187F">
      <w:pPr>
        <w:bidi w:val="0"/>
        <w:rPr>
          <w:rFonts w:ascii="Times New Roman" w:hAnsi="Times New Roman" w:cs="Times New Roman"/>
          <w:color w:val="000000"/>
          <w:sz w:val="28"/>
          <w:szCs w:val="28"/>
          <w:lang w:val="uk-UA" w:eastAsia="ru-RU"/>
        </w:rPr>
      </w:pPr>
    </w:p>
    <w:p w:rsidR="00E4187F" w:rsidRPr="00661CE4" w:rsidP="00E4187F">
      <w:pPr>
        <w:bidi w:val="0"/>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Гурін Дмитро Олександрович</w:t>
      </w:r>
    </w:p>
    <w:p w:rsidR="00661CE4" w:rsidP="00E4187F">
      <w:pPr>
        <w:bidi w:val="0"/>
        <w:rPr>
          <w:rFonts w:ascii="Times New Roman" w:hAnsi="Times New Roman" w:cs="Times New Roman"/>
          <w:color w:val="000000"/>
          <w:sz w:val="28"/>
          <w:szCs w:val="28"/>
          <w:lang w:val="uk-UA" w:eastAsia="ru-RU"/>
        </w:rPr>
      </w:pPr>
    </w:p>
    <w:p w:rsidR="00E4187F" w:rsidRPr="00661CE4" w:rsidP="00E4187F">
      <w:pPr>
        <w:bidi w:val="0"/>
        <w:rPr>
          <w:rFonts w:ascii="Times New Roman" w:hAnsi="Times New Roman" w:cs="Times New Roman"/>
          <w:lang w:val="uk-UA" w:eastAsia="ru-RU"/>
        </w:rPr>
      </w:pPr>
      <w:r w:rsidRPr="00661CE4">
        <w:rPr>
          <w:rFonts w:ascii="Times New Roman" w:hAnsi="Times New Roman" w:cs="Times New Roman"/>
          <w:color w:val="000000"/>
          <w:sz w:val="28"/>
          <w:szCs w:val="28"/>
          <w:lang w:val="uk-UA" w:eastAsia="ru-RU"/>
        </w:rPr>
        <w:t>Бондар Ганна Вячеславівна</w:t>
      </w:r>
    </w:p>
    <w:p w:rsidR="00E4187F" w:rsidRPr="00661CE4" w:rsidP="00E4187F">
      <w:pPr>
        <w:bidi w:val="0"/>
        <w:spacing w:after="240"/>
        <w:rPr>
          <w:rFonts w:ascii="Times New Roman" w:hAnsi="Times New Roman" w:cs="Times New Roman"/>
          <w:lang w:val="uk-UA" w:eastAsia="ru-RU"/>
        </w:rPr>
      </w:pPr>
      <w:r w:rsidRPr="00661CE4">
        <w:rPr>
          <w:rFonts w:ascii="Times New Roman" w:hAnsi="Times New Roman" w:cs="Times New Roman"/>
          <w:lang w:val="uk-UA" w:eastAsia="ru-RU"/>
        </w:rPr>
        <w:br/>
      </w:r>
    </w:p>
    <w:p w:rsidR="006C3DBA" w:rsidRPr="00661CE4">
      <w:pPr>
        <w:bidi w:val="0"/>
        <w:rPr>
          <w:lang w:val="uk-UA"/>
        </w:rPr>
      </w:pPr>
    </w:p>
    <w:sectPr w:rsidSect="002B59C9">
      <w:pgSz w:w="11900" w:h="16840"/>
      <w:pgMar w:top="1134" w:right="850" w:bottom="1134" w:left="1701"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libri">
    <w:panose1 w:val="020F0502020204030204"/>
    <w:charset w:val="CC"/>
    <w:family w:val="swiss"/>
    <w:pitch w:val="variable"/>
    <w:sig w:usb0="00000000" w:usb1="00000000" w:usb2="00000000" w:usb3="00000000" w:csb0="000001FF" w:csb1="00000000"/>
  </w:font>
  <w:font w:name="Segoe UI">
    <w:panose1 w:val="020B0502040204020203"/>
    <w:charset w:val="CC"/>
    <w:family w:val="swiss"/>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24D10"/>
    <w:multiLevelType w:val="multilevel"/>
    <w:tmpl w:val="413E4184"/>
    <w:lvl w:ilvl="0">
      <w:start w:val="2"/>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1">
    <w:nsid w:val="20FB6E31"/>
    <w:multiLevelType w:val="multilevel"/>
    <w:tmpl w:val="49BC0B4E"/>
    <w:lvl w:ilvl="0">
      <w:start w:val="4"/>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2">
    <w:nsid w:val="26890B1D"/>
    <w:multiLevelType w:val="multilevel"/>
    <w:tmpl w:val="12A83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14234DD"/>
    <w:multiLevelType w:val="multilevel"/>
    <w:tmpl w:val="8DF80196"/>
    <w:lvl w:ilvl="0">
      <w:start w:val="1"/>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4">
    <w:nsid w:val="46C37CE7"/>
    <w:multiLevelType w:val="multilevel"/>
    <w:tmpl w:val="F41C6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0B52B58"/>
    <w:multiLevelType w:val="multilevel"/>
    <w:tmpl w:val="F25C6900"/>
    <w:lvl w:ilvl="0">
      <w:start w:val="3"/>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6">
    <w:nsid w:val="77107EB6"/>
    <w:multiLevelType w:val="multilevel"/>
    <w:tmpl w:val="E1E4713C"/>
    <w:lvl w:ilvl="0">
      <w:start w:val="5"/>
      <w:numFmt w:val="decimal"/>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3"/>
  </w:num>
  <w:num w:numId="2">
    <w:abstractNumId w:val="2"/>
  </w:num>
  <w:num w:numId="3">
    <w:abstractNumId w:val="0"/>
    <w:lvlOverride w:ilvl="0">
      <w:lvl w:ilvl="0">
        <w:start w:val="0"/>
        <w:numFmt w:val="decimal"/>
        <w:lvlText w:val="%1."/>
        <w:lvlJc w:val="left"/>
        <w:rPr>
          <w:rFonts w:cs="Times New Roman"/>
          <w:rtl w:val="0"/>
          <w:cs w:val="0"/>
        </w:rPr>
      </w:lvl>
    </w:lvlOverride>
  </w:num>
  <w:num w:numId="4">
    <w:abstractNumId w:val="5"/>
    <w:lvlOverride w:ilvl="0">
      <w:lvl w:ilvl="0">
        <w:start w:val="0"/>
        <w:numFmt w:val="decimal"/>
        <w:lvlText w:val="%1."/>
        <w:lvlJc w:val="left"/>
        <w:rPr>
          <w:rFonts w:cs="Times New Roman"/>
          <w:rtl w:val="0"/>
          <w:cs w:val="0"/>
        </w:rPr>
      </w:lvl>
    </w:lvlOverride>
  </w:num>
  <w:num w:numId="5">
    <w:abstractNumId w:val="4"/>
  </w:num>
  <w:num w:numId="6">
    <w:abstractNumId w:val="1"/>
    <w:lvlOverride w:ilvl="0">
      <w:lvl w:ilvl="0">
        <w:start w:val="0"/>
        <w:numFmt w:val="decimal"/>
        <w:lvlText w:val="%1."/>
        <w:lvlJc w:val="left"/>
        <w:rPr>
          <w:rFonts w:cs="Times New Roman"/>
          <w:rtl w:val="0"/>
          <w:cs w:val="0"/>
        </w:rPr>
      </w:lvl>
    </w:lvlOverride>
  </w:num>
  <w:num w:numId="7">
    <w:abstractNumId w:val="6"/>
    <w:lvlOverride w:ilvl="0">
      <w:lvl w:ilvl="0">
        <w:start w:val="0"/>
        <w:numFmt w:val="decimal"/>
        <w:lvlText w:val="%1."/>
        <w:lvlJc w:val="left"/>
        <w:rPr>
          <w:rFonts w:cs="Times New Roman"/>
          <w:rtl w:val="0"/>
          <w:cs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E4187F"/>
    <w:rsid w:val="00026C6F"/>
    <w:rsid w:val="002B59C9"/>
    <w:rsid w:val="00661CE4"/>
    <w:rsid w:val="006C3DBA"/>
    <w:rsid w:val="007C6BB0"/>
    <w:rsid w:val="00E4187F"/>
  </w:rsids>
  <m:mathPr>
    <m:mathFont m:val="Times New Roman"/>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asciiTheme="minorHAnsi" w:hAnsiTheme="minorHAnsi" w:cstheme="minorBidi"/>
      <w:sz w:val="24"/>
      <w:szCs w:val="24"/>
      <w:rtl w:val="0"/>
      <w:cs w:val="0"/>
      <w:lang w:val="ru-RU"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NormalWeb">
    <w:name w:val="Normal (Web)"/>
    <w:basedOn w:val="Normal"/>
    <w:uiPriority w:val="99"/>
    <w:semiHidden/>
    <w:unhideWhenUsed/>
    <w:rsid w:val="00E4187F"/>
    <w:pPr>
      <w:spacing w:before="100" w:beforeAutospacing="1" w:after="100" w:afterAutospacing="1"/>
      <w:jc w:val="left"/>
    </w:pPr>
    <w:rPr>
      <w:rFonts w:ascii="Times New Roman" w:hAnsi="Times New Roman" w:cs="Times New Roman"/>
      <w:lang w:eastAsia="ru-RU"/>
    </w:rPr>
  </w:style>
  <w:style w:type="paragraph" w:styleId="BalloonText">
    <w:name w:val="Balloon Text"/>
    <w:basedOn w:val="Normal"/>
    <w:link w:val="a"/>
    <w:uiPriority w:val="99"/>
    <w:semiHidden/>
    <w:unhideWhenUsed/>
    <w:rsid w:val="00661CE4"/>
    <w:pPr>
      <w:jc w:val="left"/>
    </w:pPr>
    <w:rPr>
      <w:rFonts w:ascii="Segoe UI" w:hAnsi="Segoe UI" w:cs="Segoe UI"/>
      <w:sz w:val="18"/>
      <w:szCs w:val="18"/>
    </w:rPr>
  </w:style>
  <w:style w:type="character" w:customStyle="1" w:styleId="a">
    <w:name w:val="Текст у виносці Знак"/>
    <w:basedOn w:val="DefaultParagraphFont"/>
    <w:link w:val="BalloonText"/>
    <w:uiPriority w:val="99"/>
    <w:semiHidden/>
    <w:locked/>
    <w:rsid w:val="00661CE4"/>
    <w:rPr>
      <w:rFonts w:ascii="Segoe UI" w:hAnsi="Segoe UI" w:cs="Segoe UI"/>
      <w:sz w:val="18"/>
      <w:szCs w:val="18"/>
      <w:rtl w:val="0"/>
      <w:cs w:val="0"/>
    </w:rPr>
  </w:style>
</w:styles>
</file>

<file path=word/webSettings.xml><?xml version="1.0" encoding="utf-8"?>
<w:webSettings xmlns:r="http://schemas.openxmlformats.org/officeDocument/2006/relationships" xmlns:w="http://schemas.openxmlformats.org/wordprocessingml/2006/main">
  <w:relyOnVML/>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3</Pages>
  <Words>3845</Words>
  <Characters>2192</Characters>
  <Application>Microsoft Office Word</Application>
  <DocSecurity>0</DocSecurity>
  <Lines>0</Lines>
  <Paragraphs>0</Paragraphs>
  <ScaleCrop>false</ScaleCrop>
  <Company/>
  <LinksUpToDate>false</LinksUpToDate>
  <CharactersWithSpaces>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Лілейко Надія Романівна</cp:lastModifiedBy>
  <cp:revision>2</cp:revision>
  <cp:lastPrinted>2019-09-27T05:37:00Z</cp:lastPrinted>
  <dcterms:created xsi:type="dcterms:W3CDTF">2019-09-27T11:37:00Z</dcterms:created>
  <dcterms:modified xsi:type="dcterms:W3CDTF">2019-09-27T11:37:00Z</dcterms:modified>
</cp:coreProperties>
</file>