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9948C2" w:rsidP="009E033B">
      <w:pPr>
        <w:bidi w:val="0"/>
        <w:jc w:val="center"/>
        <w:rPr>
          <w:rFonts w:ascii="Times New Roman" w:hAnsi="Times New Roman"/>
          <w:b/>
          <w:sz w:val="28"/>
          <w:szCs w:val="28"/>
        </w:rPr>
      </w:pPr>
      <w:bookmarkStart w:id="0" w:name="_GoBack"/>
      <w:bookmarkEnd w:id="0"/>
      <w:r w:rsidRPr="009E033B">
        <w:rPr>
          <w:rFonts w:ascii="Times New Roman" w:hAnsi="Times New Roman"/>
          <w:b/>
          <w:sz w:val="28"/>
          <w:szCs w:val="28"/>
        </w:rPr>
        <w:t>ПОРІВНЯЛЬНА   ТАБЛИЦЯ</w:t>
      </w:r>
    </w:p>
    <w:p w:rsidR="009948C2" w:rsidRPr="009E033B" w:rsidP="009E033B">
      <w:pPr>
        <w:bidi w:val="0"/>
        <w:jc w:val="center"/>
        <w:rPr>
          <w:rFonts w:ascii="Times New Roman" w:hAnsi="Times New Roman"/>
          <w:b/>
          <w:sz w:val="28"/>
          <w:szCs w:val="28"/>
        </w:rPr>
      </w:pPr>
      <w:r w:rsidRPr="009E033B">
        <w:rPr>
          <w:rFonts w:ascii="Times New Roman" w:hAnsi="Times New Roman"/>
          <w:b/>
          <w:sz w:val="28"/>
          <w:szCs w:val="28"/>
        </w:rPr>
        <w:t>до проекту Закону України «Про захист прав та законних інтересів боржників при здійсненні</w:t>
      </w:r>
    </w:p>
    <w:p w:rsidR="009948C2" w:rsidRPr="009E033B" w:rsidP="009E033B">
      <w:pPr>
        <w:bidi w:val="0"/>
        <w:jc w:val="center"/>
        <w:rPr>
          <w:rFonts w:ascii="Times New Roman" w:hAnsi="Times New Roman"/>
          <w:b/>
          <w:sz w:val="28"/>
          <w:szCs w:val="28"/>
        </w:rPr>
      </w:pPr>
      <w:r w:rsidRPr="009E033B">
        <w:rPr>
          <w:rFonts w:ascii="Times New Roman" w:hAnsi="Times New Roman"/>
          <w:b/>
          <w:sz w:val="28"/>
          <w:szCs w:val="28"/>
        </w:rPr>
        <w:t>колекторської діяльності»</w:t>
      </w:r>
    </w:p>
    <w:p w:rsidR="009948C2" w:rsidRPr="009E033B" w:rsidP="009E033B">
      <w:pPr>
        <w:bidi w:val="0"/>
        <w:jc w:val="center"/>
        <w:rPr>
          <w:rFonts w:ascii="Times New Roman" w:hAnsi="Times New Roman"/>
          <w:b/>
          <w:sz w:val="28"/>
          <w:szCs w:val="28"/>
        </w:rPr>
      </w:pPr>
    </w:p>
    <w:p w:rsidR="009948C2" w:rsidP="009E033B">
      <w:pPr>
        <w:bidi w:val="0"/>
        <w:jc w:val="center"/>
        <w:rPr>
          <w:rFonts w:ascii="Times New Roman" w:hAnsi="Times New Roman"/>
          <w:b/>
          <w:sz w:val="28"/>
          <w:szCs w:val="28"/>
        </w:rPr>
      </w:pPr>
      <w:r w:rsidRPr="009E033B">
        <w:rPr>
          <w:rFonts w:ascii="Times New Roman" w:hAnsi="Times New Roman"/>
          <w:b/>
          <w:sz w:val="28"/>
          <w:szCs w:val="28"/>
        </w:rPr>
        <w:t>ПРИКІНЦЕВІ ТА ПЕРЕХІДНІ ПОЛОЖЕННЯ</w:t>
      </w:r>
    </w:p>
    <w:p w:rsidR="009948C2" w:rsidP="009E033B">
      <w:pPr>
        <w:bidi w:val="0"/>
        <w:jc w:val="center"/>
        <w:rPr>
          <w:rFonts w:ascii="Times New Roman" w:hAnsi="Times New Roman"/>
          <w:b/>
          <w:sz w:val="28"/>
          <w:szCs w:val="28"/>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93"/>
        <w:gridCol w:w="739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bidi w:val="0"/>
              <w:jc w:val="center"/>
              <w:rPr>
                <w:rFonts w:ascii="Times New Roman" w:hAnsi="Times New Roman"/>
                <w:b/>
                <w:sz w:val="28"/>
                <w:szCs w:val="28"/>
              </w:rPr>
            </w:pPr>
            <w:r w:rsidRPr="00831316">
              <w:rPr>
                <w:rFonts w:ascii="Times New Roman" w:hAnsi="Times New Roman"/>
                <w:b/>
                <w:bCs/>
                <w:sz w:val="28"/>
                <w:szCs w:val="28"/>
                <w:lang w:val="uk-UA"/>
              </w:rPr>
              <w:t>Чинна редакція Закону</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bidi w:val="0"/>
              <w:jc w:val="center"/>
              <w:rPr>
                <w:rFonts w:ascii="Times New Roman" w:hAnsi="Times New Roman"/>
                <w:b/>
                <w:sz w:val="28"/>
                <w:szCs w:val="28"/>
              </w:rPr>
            </w:pPr>
            <w:r w:rsidRPr="00831316">
              <w:rPr>
                <w:rFonts w:ascii="Times New Roman" w:hAnsi="Times New Roman"/>
                <w:b/>
                <w:bCs/>
                <w:sz w:val="28"/>
                <w:szCs w:val="28"/>
                <w:lang w:val="uk-UA"/>
              </w:rPr>
              <w:t>Редакція Закону з урахуванням запропонованих змін</w:t>
            </w:r>
          </w:p>
        </w:tc>
      </w:tr>
      <w:tr>
        <w:tblPrEx>
          <w:tblW w:w="0" w:type="auto"/>
          <w:tblLook w:val="00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9948C2" w:rsidRPr="005960CE" w:rsidP="00831316">
            <w:pPr>
              <w:bidi w:val="0"/>
              <w:jc w:val="center"/>
              <w:rPr>
                <w:rFonts w:ascii="Times New Roman" w:hAnsi="Times New Roman"/>
                <w:b/>
                <w:sz w:val="16"/>
                <w:szCs w:val="16"/>
                <w:lang w:val="uk-UA"/>
              </w:rPr>
            </w:pPr>
          </w:p>
          <w:p w:rsidR="009948C2" w:rsidRPr="00831316" w:rsidP="00831316">
            <w:pPr>
              <w:bidi w:val="0"/>
              <w:jc w:val="center"/>
              <w:rPr>
                <w:rFonts w:ascii="Times New Roman" w:hAnsi="Times New Roman"/>
                <w:b/>
                <w:sz w:val="28"/>
                <w:szCs w:val="28"/>
                <w:lang w:val="uk-UA"/>
              </w:rPr>
            </w:pPr>
            <w:r w:rsidRPr="00831316">
              <w:rPr>
                <w:rFonts w:ascii="Times New Roman" w:hAnsi="Times New Roman"/>
                <w:b/>
                <w:sz w:val="28"/>
                <w:szCs w:val="28"/>
                <w:lang w:val="uk-UA"/>
              </w:rPr>
              <w:t>Закон  України «Про ліцензування видів господарської діяльності»</w:t>
            </w:r>
          </w:p>
          <w:p w:rsidR="009948C2" w:rsidRPr="005960CE" w:rsidP="00831316">
            <w:pPr>
              <w:bidi w:val="0"/>
              <w:jc w:val="center"/>
              <w:rPr>
                <w:rFonts w:ascii="Times New Roman" w:hAnsi="Times New Roman"/>
                <w:b/>
                <w:sz w:val="16"/>
                <w:szCs w:val="16"/>
              </w:rPr>
            </w:pPr>
          </w:p>
        </w:tc>
      </w:tr>
      <w:tr>
        <w:tblPrEx>
          <w:tblW w:w="0" w:type="auto"/>
          <w:tblLook w:val="00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pStyle w:val="rvps2"/>
              <w:bidi w:val="0"/>
              <w:spacing w:before="0" w:beforeAutospacing="0" w:after="0" w:afterAutospacing="0"/>
              <w:ind w:firstLine="709"/>
              <w:jc w:val="both"/>
              <w:rPr>
                <w:rFonts w:ascii="Times New Roman" w:hAnsi="Times New Roman"/>
                <w:sz w:val="28"/>
                <w:szCs w:val="28"/>
                <w:lang w:val="uk-UA"/>
              </w:rPr>
            </w:pPr>
            <w:r w:rsidRPr="00831316">
              <w:rPr>
                <w:rStyle w:val="rvts9"/>
                <w:rFonts w:ascii="Times New Roman" w:hAnsi="Times New Roman"/>
                <w:b/>
                <w:sz w:val="28"/>
                <w:szCs w:val="28"/>
                <w:lang w:val="uk-UA"/>
              </w:rPr>
              <w:t>Стаття 7</w:t>
            </w:r>
            <w:r w:rsidRPr="00831316">
              <w:rPr>
                <w:rStyle w:val="rvts9"/>
                <w:rFonts w:ascii="Times New Roman" w:hAnsi="Times New Roman"/>
                <w:sz w:val="28"/>
                <w:szCs w:val="28"/>
                <w:lang w:val="uk-UA"/>
              </w:rPr>
              <w:t xml:space="preserve">. </w:t>
            </w:r>
            <w:r w:rsidRPr="00831316">
              <w:rPr>
                <w:rFonts w:ascii="Times New Roman" w:hAnsi="Times New Roman"/>
                <w:sz w:val="28"/>
                <w:szCs w:val="28"/>
                <w:lang w:val="uk-UA"/>
              </w:rPr>
              <w:t>Перелік видів господарської діяльності, що підлягають ліцензуванню</w:t>
            </w:r>
          </w:p>
          <w:p w:rsidR="009948C2" w:rsidRPr="00831316" w:rsidP="00831316">
            <w:pPr>
              <w:pStyle w:val="rvps2"/>
              <w:bidi w:val="0"/>
              <w:spacing w:before="0" w:beforeAutospacing="0" w:after="0" w:afterAutospacing="0"/>
              <w:jc w:val="both"/>
              <w:rPr>
                <w:rFonts w:ascii="Times New Roman" w:hAnsi="Times New Roman"/>
                <w:sz w:val="28"/>
                <w:szCs w:val="28"/>
              </w:rPr>
            </w:pPr>
            <w:bookmarkStart w:id="1" w:name="n130"/>
            <w:bookmarkEnd w:id="1"/>
            <w:r w:rsidRPr="00831316">
              <w:rPr>
                <w:rFonts w:ascii="Times New Roman" w:hAnsi="Times New Roman"/>
                <w:sz w:val="28"/>
                <w:szCs w:val="28"/>
              </w:rPr>
              <w:t>1. Ліцензуванню підлягають такі види господарської діяльності:</w:t>
            </w:r>
          </w:p>
          <w:p w:rsidR="009948C2" w:rsidRPr="00831316" w:rsidP="00831316">
            <w:pPr>
              <w:pStyle w:val="rvps2"/>
              <w:bidi w:val="0"/>
              <w:spacing w:before="0" w:beforeAutospacing="0" w:after="0" w:afterAutospacing="0"/>
              <w:jc w:val="both"/>
              <w:rPr>
                <w:rFonts w:ascii="Times New Roman" w:hAnsi="Times New Roman"/>
                <w:sz w:val="28"/>
                <w:szCs w:val="28"/>
              </w:rPr>
            </w:pPr>
            <w:bookmarkStart w:id="2" w:name="n131"/>
            <w:bookmarkEnd w:id="2"/>
            <w:r w:rsidRPr="00831316">
              <w:rPr>
                <w:rFonts w:ascii="Times New Roman" w:hAnsi="Times New Roman"/>
                <w:sz w:val="28"/>
                <w:szCs w:val="28"/>
              </w:rPr>
              <w:t>1) банківська діяльність, діяльність з надання фінансових послуг та інша діяльність, ліцензування якої здійснює Національний банк України відповідно до закону;</w:t>
            </w:r>
          </w:p>
          <w:p w:rsidR="009948C2" w:rsidRPr="00831316" w:rsidP="00831316">
            <w:pPr>
              <w:pStyle w:val="rvps2"/>
              <w:bidi w:val="0"/>
              <w:spacing w:before="0" w:beforeAutospacing="0" w:after="0" w:afterAutospacing="0"/>
              <w:jc w:val="both"/>
              <w:rPr>
                <w:rFonts w:ascii="Times New Roman" w:hAnsi="Times New Roman"/>
                <w:sz w:val="28"/>
                <w:szCs w:val="28"/>
                <w:lang w:val="uk-UA"/>
              </w:rPr>
            </w:pPr>
            <w:bookmarkStart w:id="3" w:name="n713"/>
            <w:bookmarkStart w:id="4" w:name="n132"/>
            <w:bookmarkEnd w:id="3"/>
            <w:bookmarkEnd w:id="4"/>
            <w:r w:rsidRPr="00831316">
              <w:rPr>
                <w:rFonts w:ascii="Times New Roman" w:hAnsi="Times New Roman"/>
                <w:sz w:val="28"/>
                <w:szCs w:val="28"/>
              </w:rPr>
              <w:t xml:space="preserve">2) </w:t>
            </w:r>
            <w:r w:rsidRPr="00831316">
              <w:rPr>
                <w:rFonts w:ascii="Times New Roman" w:hAnsi="Times New Roman"/>
                <w:sz w:val="28"/>
                <w:szCs w:val="28"/>
                <w:lang w:val="uk-UA"/>
              </w:rPr>
              <w:t xml:space="preserve">надання фінансових послуг </w:t>
            </w:r>
            <w:r w:rsidRPr="00831316">
              <w:rPr>
                <w:rFonts w:ascii="Times New Roman" w:hAnsi="Times New Roman"/>
                <w:sz w:val="28"/>
                <w:szCs w:val="28"/>
              </w:rPr>
              <w:t>(крім професійної діяльності на ринку цінних паперів);</w:t>
            </w:r>
          </w:p>
          <w:p w:rsidR="009948C2" w:rsidRPr="00831316" w:rsidP="00831316">
            <w:pPr>
              <w:pStyle w:val="rvps2"/>
              <w:bidi w:val="0"/>
              <w:spacing w:before="0" w:beforeAutospacing="0" w:after="0" w:afterAutospacing="0"/>
              <w:jc w:val="both"/>
              <w:rPr>
                <w:rFonts w:ascii="Times New Roman" w:hAnsi="Times New Roman"/>
                <w:b/>
                <w:sz w:val="28"/>
                <w:szCs w:val="28"/>
                <w:lang w:val="uk-UA"/>
              </w:rPr>
            </w:pPr>
            <w:r w:rsidRPr="00831316">
              <w:rPr>
                <w:rFonts w:ascii="Times New Roman" w:hAnsi="Times New Roman"/>
                <w:b/>
                <w:sz w:val="28"/>
                <w:szCs w:val="28"/>
                <w:lang w:val="uk-UA"/>
              </w:rPr>
              <w:t>Відсутня</w:t>
            </w:r>
          </w:p>
          <w:p w:rsidR="009948C2" w:rsidRPr="00831316" w:rsidP="00831316">
            <w:pPr>
              <w:pStyle w:val="rvps2"/>
              <w:bidi w:val="0"/>
              <w:spacing w:before="0" w:beforeAutospacing="0" w:after="0" w:afterAutospacing="0"/>
              <w:jc w:val="both"/>
              <w:rPr>
                <w:rFonts w:ascii="Times New Roman" w:hAnsi="Times New Roman"/>
                <w:sz w:val="28"/>
                <w:szCs w:val="28"/>
              </w:rPr>
            </w:pPr>
            <w:bookmarkStart w:id="5" w:name="n133"/>
            <w:bookmarkEnd w:id="5"/>
            <w:r w:rsidRPr="00831316">
              <w:rPr>
                <w:rFonts w:ascii="Times New Roman" w:hAnsi="Times New Roman"/>
                <w:sz w:val="28"/>
                <w:szCs w:val="28"/>
              </w:rPr>
              <w:t>3) професійна діяльність на ринку цінних паперів, яка ліцензується з урахуванням особливостей, визначених</w:t>
            </w:r>
            <w:r w:rsidRPr="00831316">
              <w:rPr>
                <w:rFonts w:ascii="Times New Roman" w:hAnsi="Times New Roman"/>
                <w:sz w:val="28"/>
                <w:szCs w:val="28"/>
                <w:lang w:val="uk-UA"/>
              </w:rPr>
              <w:t xml:space="preserve"> Законом України</w:t>
            </w:r>
            <w:r w:rsidRPr="00831316">
              <w:rPr>
                <w:rFonts w:ascii="Times New Roman" w:hAnsi="Times New Roman"/>
                <w:sz w:val="28"/>
                <w:szCs w:val="28"/>
              </w:rPr>
              <w:t xml:space="preserve"> "Про державне регулювання ринку цінних паперів в Україні";</w:t>
            </w:r>
          </w:p>
          <w:p w:rsidR="009948C2" w:rsidRPr="00831316" w:rsidP="00831316">
            <w:pPr>
              <w:bidi w:val="0"/>
              <w:jc w:val="center"/>
              <w:rPr>
                <w:rFonts w:ascii="Times New Roman" w:hAnsi="Times New Roman"/>
                <w:b/>
                <w:sz w:val="28"/>
                <w:szCs w:val="28"/>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pStyle w:val="rvps2"/>
              <w:bidi w:val="0"/>
              <w:spacing w:before="0" w:beforeAutospacing="0" w:after="0" w:afterAutospacing="0"/>
              <w:ind w:firstLine="709"/>
              <w:jc w:val="both"/>
              <w:rPr>
                <w:rFonts w:ascii="Times New Roman" w:hAnsi="Times New Roman"/>
                <w:sz w:val="28"/>
                <w:szCs w:val="28"/>
                <w:lang w:val="uk-UA"/>
              </w:rPr>
            </w:pPr>
            <w:r w:rsidRPr="00831316">
              <w:rPr>
                <w:rStyle w:val="rvts9"/>
                <w:rFonts w:ascii="Times New Roman" w:hAnsi="Times New Roman"/>
                <w:b/>
                <w:sz w:val="28"/>
                <w:szCs w:val="28"/>
                <w:lang w:val="uk-UA"/>
              </w:rPr>
              <w:t>Стаття 7</w:t>
            </w:r>
            <w:r w:rsidRPr="00831316">
              <w:rPr>
                <w:rStyle w:val="rvts9"/>
                <w:rFonts w:ascii="Times New Roman" w:hAnsi="Times New Roman"/>
                <w:sz w:val="28"/>
                <w:szCs w:val="28"/>
                <w:lang w:val="uk-UA"/>
              </w:rPr>
              <w:t xml:space="preserve">. </w:t>
            </w:r>
            <w:r w:rsidRPr="00831316">
              <w:rPr>
                <w:rFonts w:ascii="Times New Roman" w:hAnsi="Times New Roman"/>
                <w:sz w:val="28"/>
                <w:szCs w:val="28"/>
                <w:lang w:val="uk-UA"/>
              </w:rPr>
              <w:t>Перелік видів господарської діяльності, що підлягають ліцензуванню</w:t>
            </w:r>
          </w:p>
          <w:p w:rsidR="009948C2" w:rsidRPr="00831316" w:rsidP="00831316">
            <w:pPr>
              <w:pStyle w:val="rvps2"/>
              <w:bidi w:val="0"/>
              <w:spacing w:before="0" w:beforeAutospacing="0" w:after="0" w:afterAutospacing="0"/>
              <w:jc w:val="both"/>
              <w:rPr>
                <w:rFonts w:ascii="Times New Roman" w:hAnsi="Times New Roman"/>
                <w:sz w:val="28"/>
                <w:szCs w:val="28"/>
              </w:rPr>
            </w:pPr>
            <w:r w:rsidRPr="00831316">
              <w:rPr>
                <w:rFonts w:ascii="Times New Roman" w:hAnsi="Times New Roman"/>
                <w:sz w:val="28"/>
                <w:szCs w:val="28"/>
              </w:rPr>
              <w:t>1. Ліцензуванню підлягають такі види господарської діяльності:</w:t>
            </w:r>
          </w:p>
          <w:p w:rsidR="009948C2" w:rsidRPr="00831316" w:rsidP="00831316">
            <w:pPr>
              <w:pStyle w:val="rvps2"/>
              <w:bidi w:val="0"/>
              <w:spacing w:before="0" w:beforeAutospacing="0" w:after="0" w:afterAutospacing="0"/>
              <w:jc w:val="both"/>
              <w:rPr>
                <w:rFonts w:ascii="Times New Roman" w:hAnsi="Times New Roman"/>
                <w:sz w:val="28"/>
                <w:szCs w:val="28"/>
              </w:rPr>
            </w:pPr>
            <w:r w:rsidRPr="00831316">
              <w:rPr>
                <w:rFonts w:ascii="Times New Roman" w:hAnsi="Times New Roman"/>
                <w:sz w:val="28"/>
                <w:szCs w:val="28"/>
              </w:rPr>
              <w:t>1) банківська діяльність, діяльність з надання фінансових послуг та інша діяльність, ліцензування якої здійснює Національний банк України відповідно до закону;</w:t>
            </w:r>
          </w:p>
          <w:p w:rsidR="009948C2" w:rsidRPr="00831316" w:rsidP="00831316">
            <w:pPr>
              <w:pStyle w:val="rvps2"/>
              <w:bidi w:val="0"/>
              <w:spacing w:before="0" w:beforeAutospacing="0" w:after="0" w:afterAutospacing="0"/>
              <w:jc w:val="both"/>
              <w:rPr>
                <w:rFonts w:ascii="Times New Roman" w:hAnsi="Times New Roman"/>
                <w:sz w:val="28"/>
                <w:szCs w:val="28"/>
                <w:lang w:val="uk-UA"/>
              </w:rPr>
            </w:pPr>
            <w:r w:rsidRPr="00831316">
              <w:rPr>
                <w:rFonts w:ascii="Times New Roman" w:hAnsi="Times New Roman"/>
                <w:sz w:val="28"/>
                <w:szCs w:val="28"/>
              </w:rPr>
              <w:t xml:space="preserve">2) </w:t>
            </w:r>
            <w:r w:rsidRPr="00831316">
              <w:rPr>
                <w:rFonts w:ascii="Times New Roman" w:hAnsi="Times New Roman"/>
                <w:sz w:val="28"/>
                <w:szCs w:val="28"/>
                <w:lang w:val="uk-UA"/>
              </w:rPr>
              <w:t xml:space="preserve">надання фінансових послуг </w:t>
            </w:r>
            <w:r w:rsidRPr="00831316">
              <w:rPr>
                <w:rFonts w:ascii="Times New Roman" w:hAnsi="Times New Roman"/>
                <w:sz w:val="28"/>
                <w:szCs w:val="28"/>
              </w:rPr>
              <w:t>(крім професійної діяльності на ринку цінних паперів);</w:t>
            </w:r>
          </w:p>
          <w:p w:rsidR="009948C2" w:rsidRPr="00831316" w:rsidP="00831316">
            <w:pPr>
              <w:pStyle w:val="rvps2"/>
              <w:bidi w:val="0"/>
              <w:spacing w:before="0" w:beforeAutospacing="0" w:after="0" w:afterAutospacing="0"/>
              <w:jc w:val="both"/>
              <w:rPr>
                <w:rFonts w:ascii="Times New Roman" w:hAnsi="Times New Roman"/>
                <w:b/>
                <w:sz w:val="28"/>
                <w:szCs w:val="28"/>
                <w:lang w:val="uk-UA"/>
              </w:rPr>
            </w:pPr>
            <w:r w:rsidRPr="00831316">
              <w:rPr>
                <w:rFonts w:ascii="Times New Roman" w:hAnsi="Times New Roman"/>
                <w:b/>
                <w:sz w:val="28"/>
                <w:szCs w:val="28"/>
                <w:lang w:val="uk-UA"/>
              </w:rPr>
              <w:t>2-1) колекторська діяльність;</w:t>
            </w:r>
          </w:p>
          <w:p w:rsidR="009948C2" w:rsidRPr="00831316" w:rsidP="00831316">
            <w:pPr>
              <w:pStyle w:val="rvps2"/>
              <w:bidi w:val="0"/>
              <w:spacing w:before="0" w:beforeAutospacing="0" w:after="0" w:afterAutospacing="0"/>
              <w:jc w:val="both"/>
              <w:rPr>
                <w:rFonts w:ascii="Times New Roman" w:hAnsi="Times New Roman"/>
                <w:sz w:val="28"/>
                <w:szCs w:val="28"/>
              </w:rPr>
            </w:pPr>
            <w:r w:rsidRPr="00831316">
              <w:rPr>
                <w:rFonts w:ascii="Times New Roman" w:hAnsi="Times New Roman"/>
                <w:sz w:val="28"/>
                <w:szCs w:val="28"/>
              </w:rPr>
              <w:t>3) професійна діяльність на ринку цінних паперів, яка ліцензується з урахуванням особливостей, визначених</w:t>
            </w:r>
            <w:r w:rsidRPr="00831316">
              <w:rPr>
                <w:rFonts w:ascii="Times New Roman" w:hAnsi="Times New Roman"/>
                <w:sz w:val="28"/>
                <w:szCs w:val="28"/>
                <w:lang w:val="uk-UA"/>
              </w:rPr>
              <w:t xml:space="preserve"> Законом України</w:t>
            </w:r>
            <w:r w:rsidRPr="00831316">
              <w:rPr>
                <w:rFonts w:ascii="Times New Roman" w:hAnsi="Times New Roman"/>
                <w:sz w:val="28"/>
                <w:szCs w:val="28"/>
              </w:rPr>
              <w:t xml:space="preserve"> "Про державне регулювання ринку цінних паперів в Україні";</w:t>
            </w:r>
          </w:p>
          <w:p w:rsidR="009948C2" w:rsidRPr="00831316" w:rsidP="00831316">
            <w:pPr>
              <w:bidi w:val="0"/>
              <w:jc w:val="center"/>
              <w:rPr>
                <w:rFonts w:ascii="Times New Roman" w:hAnsi="Times New Roman"/>
                <w:b/>
                <w:sz w:val="28"/>
                <w:szCs w:val="28"/>
              </w:rPr>
            </w:pPr>
          </w:p>
        </w:tc>
      </w:tr>
      <w:tr>
        <w:tblPrEx>
          <w:tblW w:w="0" w:type="auto"/>
          <w:tblLook w:val="00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9948C2" w:rsidRPr="005960CE" w:rsidP="005960CE">
            <w:pPr>
              <w:pStyle w:val="NormalWeb"/>
              <w:bidi w:val="0"/>
              <w:spacing w:before="0" w:beforeAutospacing="0" w:after="120" w:afterAutospacing="0"/>
              <w:jc w:val="center"/>
              <w:rPr>
                <w:rFonts w:ascii="Times New Roman" w:hAnsi="Times New Roman" w:cs="Times New Roman" w:hint="default"/>
                <w:b/>
                <w:sz w:val="28"/>
                <w:szCs w:val="28"/>
                <w:lang w:val="uk-UA"/>
              </w:rPr>
            </w:pPr>
            <w:r w:rsidRPr="005960CE">
              <w:rPr>
                <w:rFonts w:ascii="Times New Roman" w:hAnsi="Times New Roman" w:cs="Times New Roman" w:hint="default"/>
                <w:b/>
                <w:sz w:val="28"/>
                <w:szCs w:val="28"/>
                <w:lang w:val="uk-UA"/>
              </w:rPr>
              <w:t>Кодекс</w:t>
            </w:r>
            <w:r w:rsidRPr="005960CE">
              <w:rPr>
                <w:rFonts w:ascii="Times New Roman" w:hAnsi="Times New Roman" w:cs="Times New Roman" w:hint="default"/>
                <w:b/>
                <w:sz w:val="28"/>
                <w:szCs w:val="28"/>
                <w:lang w:val="uk-UA"/>
              </w:rPr>
              <w:t xml:space="preserve"> України</w:t>
            </w:r>
            <w:r w:rsidRPr="005960CE">
              <w:rPr>
                <w:rFonts w:ascii="Times New Roman" w:hAnsi="Times New Roman" w:cs="Times New Roman" w:hint="default"/>
                <w:b/>
                <w:sz w:val="28"/>
                <w:szCs w:val="28"/>
                <w:lang w:val="uk-UA"/>
              </w:rPr>
              <w:t xml:space="preserve"> про</w:t>
            </w:r>
            <w:r w:rsidRPr="005960CE">
              <w:rPr>
                <w:rFonts w:ascii="Times New Roman" w:hAnsi="Times New Roman" w:cs="Times New Roman" w:hint="default"/>
                <w:b/>
                <w:sz w:val="28"/>
                <w:szCs w:val="28"/>
                <w:lang w:val="uk-UA"/>
              </w:rPr>
              <w:t xml:space="preserve"> адміністративні</w:t>
            </w:r>
            <w:r w:rsidRPr="005960CE">
              <w:rPr>
                <w:rFonts w:ascii="Times New Roman" w:hAnsi="Times New Roman" w:cs="Times New Roman" w:hint="default"/>
                <w:b/>
                <w:sz w:val="28"/>
                <w:szCs w:val="28"/>
                <w:lang w:val="uk-UA"/>
              </w:rPr>
              <w:t xml:space="preserve"> пра</w:t>
            </w:r>
            <w:r w:rsidRPr="005960CE">
              <w:rPr>
                <w:rFonts w:ascii="Times New Roman" w:hAnsi="Times New Roman" w:cs="Times New Roman" w:hint="default"/>
                <w:b/>
                <w:sz w:val="28"/>
                <w:szCs w:val="28"/>
                <w:lang w:val="uk-UA"/>
              </w:rPr>
              <w:t>вопорушення</w:t>
            </w:r>
          </w:p>
        </w:tc>
      </w:tr>
      <w:tr>
        <w:tblPrEx>
          <w:tblW w:w="0" w:type="auto"/>
          <w:tblLook w:val="00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bidi w:val="0"/>
              <w:spacing w:after="120"/>
              <w:jc w:val="both"/>
              <w:rPr>
                <w:rFonts w:ascii="Times New Roman" w:hAnsi="Times New Roman"/>
                <w:b/>
                <w:sz w:val="28"/>
                <w:szCs w:val="28"/>
                <w:lang w:val="uk-UA"/>
              </w:rPr>
            </w:pPr>
            <w:r w:rsidRPr="00831316">
              <w:rPr>
                <w:rFonts w:ascii="Times New Roman" w:hAnsi="Times New Roman"/>
                <w:b/>
                <w:sz w:val="28"/>
                <w:szCs w:val="28"/>
                <w:lang w:val="uk-UA"/>
              </w:rPr>
              <w:t>Стаття 164-16. Зайняття забороненими видами господарської діяльності</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Зайняття видами господарської діяльності, щодо яких є спеціальна заборона, встановлена законом, за відсутності ознак діяння, передбаченого Кримінальним кодексом України, -</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тягне за собою накладення штрафу від ста до п'ятисот неоподатковуваних мінімумів доходів громадян.</w:t>
            </w:r>
          </w:p>
          <w:p w:rsidR="009948C2" w:rsidRPr="00831316" w:rsidP="00831316">
            <w:pPr>
              <w:bidi w:val="0"/>
              <w:spacing w:after="120"/>
              <w:jc w:val="both"/>
              <w:rPr>
                <w:rFonts w:ascii="Times New Roman" w:hAnsi="Times New Roman"/>
                <w:sz w:val="28"/>
                <w:szCs w:val="28"/>
                <w:lang w:val="uk-UA"/>
              </w:rPr>
            </w:pP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Дії, передбачені частиною першою цієї статті, якщо вони були пов'язані з отриманням доходу у великих розмірах або вчинені особою, яку протягом року було піддано адміністративному стягненню за таке саме правопорушення, -</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тягнуть за собою накладення штрафу від п'ятисот до двох тисяч неоподатковуваних мінімумів доходів громадян.</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Примітка. Отримання доходу у великому розмірі має місце, коли його сума у тисячу і більше разів перевищує неоподатковуваний мінімум доходів громадян.</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b/>
                <w:sz w:val="28"/>
                <w:szCs w:val="28"/>
                <w:lang w:val="uk-UA"/>
              </w:rPr>
              <w:t>Відсутня</w:t>
            </w:r>
          </w:p>
          <w:p w:rsidR="009948C2" w:rsidRPr="00831316" w:rsidP="00831316">
            <w:pPr>
              <w:bidi w:val="0"/>
              <w:jc w:val="center"/>
              <w:rPr>
                <w:rFonts w:ascii="Times New Roman" w:hAnsi="Times New Roman"/>
                <w:b/>
                <w:sz w:val="28"/>
                <w:szCs w:val="28"/>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bidi w:val="0"/>
              <w:spacing w:after="120"/>
              <w:jc w:val="both"/>
              <w:rPr>
                <w:rFonts w:ascii="Times New Roman" w:hAnsi="Times New Roman"/>
                <w:b/>
                <w:sz w:val="28"/>
                <w:szCs w:val="28"/>
                <w:lang w:val="uk-UA"/>
              </w:rPr>
            </w:pPr>
            <w:r w:rsidRPr="00831316">
              <w:rPr>
                <w:rFonts w:ascii="Times New Roman" w:hAnsi="Times New Roman"/>
                <w:b/>
                <w:sz w:val="28"/>
                <w:szCs w:val="28"/>
                <w:lang w:val="uk-UA"/>
              </w:rPr>
              <w:t>Стаття 164-16. Зайняття забороненими видами господарської діяльності</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Зайняття видами господарської діяльності, щодо яких є спеціальна заборона, встановлена законом, за відсутності ознак діяння, передбаченого Кримінальним кодексом України, -</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тягне за собою накладення штрафу від ста до п'ятисот неоподатковуваних мінімумів доходів громадян.</w:t>
            </w:r>
          </w:p>
          <w:p w:rsidR="009948C2" w:rsidRPr="00831316" w:rsidP="00831316">
            <w:pPr>
              <w:bidi w:val="0"/>
              <w:spacing w:after="120"/>
              <w:jc w:val="both"/>
              <w:rPr>
                <w:rFonts w:ascii="Times New Roman" w:hAnsi="Times New Roman"/>
                <w:sz w:val="28"/>
                <w:szCs w:val="28"/>
                <w:lang w:val="uk-UA"/>
              </w:rPr>
            </w:pP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Дії, передбачені частиною першою цієї статті, якщо вони були пов'язані з отриманням доходу у великих розмірах або вчинені особою, яку протягом року було піддано адміністративному стягненню за таке саме правопорушення, -</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тягнуть за собою накладення штрафу від п'ятисот до двох тисяч неоподатковуваних мінімумів доходів громадян.</w:t>
            </w:r>
          </w:p>
          <w:p w:rsidR="009948C2" w:rsidRPr="00831316" w:rsidP="00831316">
            <w:pPr>
              <w:bidi w:val="0"/>
              <w:spacing w:after="120"/>
              <w:jc w:val="both"/>
              <w:rPr>
                <w:rFonts w:ascii="Times New Roman" w:hAnsi="Times New Roman"/>
                <w:sz w:val="28"/>
                <w:szCs w:val="28"/>
                <w:lang w:val="uk-UA"/>
              </w:rPr>
            </w:pPr>
            <w:r w:rsidRPr="00831316">
              <w:rPr>
                <w:rFonts w:ascii="Times New Roman" w:hAnsi="Times New Roman"/>
                <w:sz w:val="28"/>
                <w:szCs w:val="28"/>
                <w:lang w:val="uk-UA"/>
              </w:rPr>
              <w:t>Примітка. Отримання доходу у великому розмірі має місце, коли його сума у тисячу і більше разів перевищує неоподатковуваний мінімум доходів громадян.</w:t>
            </w:r>
          </w:p>
          <w:p w:rsidR="009948C2" w:rsidRPr="00831316" w:rsidP="00831316">
            <w:pPr>
              <w:bidi w:val="0"/>
              <w:jc w:val="both"/>
              <w:rPr>
                <w:rFonts w:ascii="Times New Roman" w:hAnsi="Times New Roman"/>
                <w:b/>
                <w:sz w:val="28"/>
                <w:szCs w:val="28"/>
                <w:lang w:val="uk-UA"/>
              </w:rPr>
            </w:pPr>
            <w:r w:rsidRPr="00831316">
              <w:rPr>
                <w:rFonts w:ascii="Times New Roman" w:hAnsi="Times New Roman"/>
                <w:b/>
                <w:sz w:val="28"/>
                <w:szCs w:val="28"/>
                <w:lang w:val="uk-UA"/>
              </w:rPr>
              <w:t>Стаття 164-17. Порушення порядку здійснення колекторської діяльності з врегулювання простроченої заборгованості</w:t>
            </w:r>
          </w:p>
          <w:p w:rsidR="009948C2" w:rsidRPr="00831316" w:rsidP="00831316">
            <w:pPr>
              <w:bidi w:val="0"/>
              <w:jc w:val="both"/>
              <w:rPr>
                <w:rFonts w:ascii="Times New Roman" w:hAnsi="Times New Roman"/>
                <w:b/>
                <w:sz w:val="28"/>
                <w:szCs w:val="28"/>
                <w:lang w:val="uk-UA"/>
              </w:rPr>
            </w:pPr>
            <w:r w:rsidRPr="00831316">
              <w:rPr>
                <w:rFonts w:ascii="Times New Roman" w:hAnsi="Times New Roman"/>
                <w:b/>
                <w:sz w:val="28"/>
                <w:szCs w:val="28"/>
                <w:lang w:val="uk-UA"/>
              </w:rPr>
              <w:t>Здійснення колекторської діяльності з врегулювання простроченої заборгованості щодо зобов'язань, які виникли внаслідок надання житлово-комунальних послуг та інших похідних послуг,</w:t>
            </w:r>
          </w:p>
          <w:p w:rsidR="009948C2" w:rsidRPr="00831316" w:rsidP="00831316">
            <w:pPr>
              <w:bidi w:val="0"/>
              <w:ind w:firstLine="709"/>
              <w:jc w:val="both"/>
              <w:rPr>
                <w:rFonts w:ascii="Times New Roman" w:hAnsi="Times New Roman"/>
                <w:b/>
                <w:sz w:val="28"/>
                <w:szCs w:val="28"/>
                <w:lang w:val="uk-UA"/>
              </w:rPr>
            </w:pPr>
            <w:r w:rsidRPr="00831316">
              <w:rPr>
                <w:rFonts w:ascii="Times New Roman" w:hAnsi="Times New Roman"/>
                <w:b/>
                <w:sz w:val="28"/>
                <w:szCs w:val="28"/>
                <w:lang w:val="uk-UA"/>
              </w:rPr>
              <w:t>- тягне за собою накладення адміністративного штрафу у розмірі від п’яти тисяч до десяти тисяч неоподатковуваних мінімумів доходів громадян.</w:t>
            </w:r>
          </w:p>
          <w:p w:rsidR="009948C2" w:rsidRPr="00831316" w:rsidP="00831316">
            <w:pPr>
              <w:bidi w:val="0"/>
              <w:ind w:firstLine="709"/>
              <w:jc w:val="both"/>
              <w:rPr>
                <w:rFonts w:ascii="Times New Roman" w:hAnsi="Times New Roman"/>
                <w:b/>
                <w:sz w:val="28"/>
                <w:szCs w:val="28"/>
                <w:lang w:val="uk-UA"/>
              </w:rPr>
            </w:pPr>
            <w:r w:rsidRPr="00831316">
              <w:rPr>
                <w:rFonts w:ascii="Times New Roman" w:hAnsi="Times New Roman"/>
                <w:b/>
                <w:sz w:val="28"/>
                <w:szCs w:val="28"/>
                <w:lang w:val="uk-UA"/>
              </w:rPr>
              <w:t>Дії, передбачені частиною першою цієї статті, якщо вони були пов'язані з отриманням доходу у великих розмірах, -</w:t>
            </w:r>
          </w:p>
          <w:p w:rsidR="009948C2" w:rsidRPr="00831316" w:rsidP="00831316">
            <w:pPr>
              <w:bidi w:val="0"/>
              <w:ind w:firstLine="567"/>
              <w:jc w:val="both"/>
              <w:rPr>
                <w:rFonts w:ascii="Times New Roman" w:hAnsi="Times New Roman"/>
                <w:b/>
                <w:sz w:val="28"/>
                <w:szCs w:val="28"/>
                <w:lang w:val="uk-UA"/>
              </w:rPr>
            </w:pPr>
            <w:r w:rsidRPr="00831316">
              <w:rPr>
                <w:rFonts w:ascii="Times New Roman" w:hAnsi="Times New Roman"/>
                <w:b/>
                <w:sz w:val="28"/>
                <w:szCs w:val="28"/>
                <w:lang w:val="uk-UA"/>
              </w:rPr>
              <w:t xml:space="preserve">   тягнуть за собою накладення штрафу від двадцяти тисяч до п’ятдесяти тисяч неоподатковуваних мінімумів доходів громадян.</w:t>
            </w:r>
          </w:p>
          <w:p w:rsidR="009948C2" w:rsidRPr="00831316" w:rsidP="00831316">
            <w:pPr>
              <w:bidi w:val="0"/>
              <w:ind w:firstLine="567"/>
              <w:jc w:val="both"/>
              <w:rPr>
                <w:rFonts w:ascii="Times New Roman" w:hAnsi="Times New Roman"/>
                <w:b/>
                <w:sz w:val="28"/>
                <w:szCs w:val="28"/>
              </w:rPr>
            </w:pPr>
            <w:r w:rsidRPr="00831316">
              <w:rPr>
                <w:rFonts w:ascii="Times New Roman" w:hAnsi="Times New Roman"/>
                <w:b/>
                <w:sz w:val="28"/>
                <w:szCs w:val="28"/>
                <w:lang w:val="uk-UA"/>
              </w:rPr>
              <w:t>Примітка. Отримання доходу у великому розмірі має місце, коли його сума у тисячу і більше разів перевищує неоподатковуваний мінімум доходів громадян.</w:t>
            </w:r>
          </w:p>
        </w:tc>
      </w:tr>
      <w:tr>
        <w:tblPrEx>
          <w:tblW w:w="0" w:type="auto"/>
          <w:tblLook w:val="00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bidi w:val="0"/>
              <w:jc w:val="both"/>
              <w:rPr>
                <w:rFonts w:ascii="Times New Roman" w:hAnsi="Times New Roman"/>
                <w:sz w:val="28"/>
                <w:szCs w:val="28"/>
                <w:lang w:val="uk-UA"/>
              </w:rPr>
            </w:pPr>
            <w:r w:rsidRPr="00831316">
              <w:rPr>
                <w:rFonts w:ascii="Times New Roman" w:hAnsi="Times New Roman"/>
                <w:sz w:val="28"/>
                <w:szCs w:val="28"/>
                <w:lang w:val="uk-UA"/>
              </w:rPr>
              <w:t>Стаття 221. Районні, районні у місті, міські чи міськрайонні суди (судді)</w:t>
            </w:r>
          </w:p>
          <w:p w:rsidR="009948C2" w:rsidRPr="00831316" w:rsidP="00831316">
            <w:pPr>
              <w:bidi w:val="0"/>
              <w:jc w:val="both"/>
              <w:rPr>
                <w:rFonts w:ascii="Times New Roman" w:hAnsi="Times New Roman"/>
                <w:sz w:val="28"/>
                <w:szCs w:val="28"/>
                <w:lang w:val="uk-UA"/>
              </w:rPr>
            </w:pPr>
          </w:p>
          <w:p w:rsidR="009948C2" w:rsidRPr="00831316" w:rsidP="00831316">
            <w:pPr>
              <w:bidi w:val="0"/>
              <w:jc w:val="both"/>
              <w:rPr>
                <w:rFonts w:ascii="Times New Roman" w:hAnsi="Times New Roman"/>
                <w:b/>
                <w:sz w:val="28"/>
                <w:szCs w:val="28"/>
                <w:lang w:val="uk-UA"/>
              </w:rPr>
            </w:pPr>
            <w:r w:rsidRPr="00831316">
              <w:rPr>
                <w:rFonts w:ascii="Times New Roman" w:hAnsi="Times New Roman"/>
                <w:sz w:val="28"/>
                <w:szCs w:val="28"/>
                <w:lang w:val="uk-UA"/>
              </w:rPr>
              <w:t>Судді районних, районних у місті, міських чи міськрайонних судів розглядають справи про  адміністративні правопорушення, передбачені  частинами  першою  -  четвертою  та сьомою статті 41, статтями  41-1  -  41-3,  42-1,  42-2,  частиною першою статті 44, статтями  44-1,  46-1, 46-2, 51, 51-2, частинами другою, четвертою та  п'ятою  статті  85,  статтями  85-1, 88-88-2, 90, 91, 92-1, статтями  98, 101-103, частиною першою статті 106-1, статтями 06-2, 107-1, частиною другою статті 112, частинами четвертою та сьомою статті 121, частиною четвертою статті 122, статтями 122-2, 122-4, 122-5, частинами другою і третьою статті 123, статтею 124, частиною четвертою статті 127, статтею 127-1, статтею  130, частиною третьою статті 133, статтями 135-1, 139,  частиною четвертою статті 140, статтями 146, 149-1, частиною другою статті 154, статтею 155-1, частинами першою, третьою і четвертою статті 156,  статтями 160,  162  - 162-3, 163-1 - 163-4, частиною другою статті 163-7, статтями 163-12, 164, 164-3, 164-5 - 164-16, 166-1-166-4, частинами першою, другою, дев'ятою та десятою статті 166-6, 166-8-166-12,  166-14-166-18, 166-21, 166-22, 166-23, 171-2, 172-4 - 172-20, 173 - 173-2, 174, 177-2, частиною третьою статті 178, статтею 180-1, частинами першою, другою і третьою статті 181, частиною другою статті 182, статтями 184 - 185-11, 185-13, 186-5 - 186-7, 187, 188,  188-1, 188-13 (крім справ про адміністративні правопорушення, пов’язані з невиконанням законних вимог державного виконавця), 188-14, 188-16, 188-17, 188-19, 188-22, 188-25, 188-27, 188-28, 188-31, 188-32, 188-33, 188-34, 188-35, 188-38, 188-39, 188-40, 188-41, 188-45, 188-46, 188-47, 188-48, частиною першою статті 189-1, статтями 189-3, 190, 191, 193, 195-1 - 195-6, статтями 204-1, 204-2, 204-3, 206-1, 212-2 - 212-21 цього Кодексу, а також справи про адміністративні правопорушення, вчинені особами віком від шістнадцяти до вісімнадцяти років.</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bidi w:val="0"/>
              <w:jc w:val="both"/>
              <w:rPr>
                <w:rFonts w:ascii="Times New Roman" w:hAnsi="Times New Roman"/>
                <w:sz w:val="28"/>
                <w:szCs w:val="28"/>
                <w:lang w:val="uk-UA"/>
              </w:rPr>
            </w:pPr>
            <w:r w:rsidRPr="00831316">
              <w:rPr>
                <w:rFonts w:ascii="Times New Roman" w:hAnsi="Times New Roman"/>
                <w:sz w:val="28"/>
                <w:szCs w:val="28"/>
                <w:lang w:val="uk-UA"/>
              </w:rPr>
              <w:t>Стаття 221. Районні, районні у місті, міські чи міськрайонні суди (судді)</w:t>
            </w:r>
          </w:p>
          <w:p w:rsidR="009948C2" w:rsidRPr="00831316" w:rsidP="00831316">
            <w:pPr>
              <w:bidi w:val="0"/>
              <w:jc w:val="both"/>
              <w:rPr>
                <w:rFonts w:ascii="Times New Roman" w:hAnsi="Times New Roman"/>
                <w:sz w:val="28"/>
                <w:szCs w:val="28"/>
                <w:lang w:val="uk-UA"/>
              </w:rPr>
            </w:pPr>
          </w:p>
          <w:p w:rsidR="009948C2" w:rsidRPr="00831316" w:rsidP="00831316">
            <w:pPr>
              <w:bidi w:val="0"/>
              <w:jc w:val="center"/>
              <w:rPr>
                <w:rFonts w:ascii="Times New Roman" w:hAnsi="Times New Roman"/>
                <w:sz w:val="28"/>
                <w:szCs w:val="28"/>
                <w:lang w:val="uk-UA"/>
              </w:rPr>
            </w:pPr>
            <w:r w:rsidRPr="00831316">
              <w:rPr>
                <w:rFonts w:ascii="Times New Roman" w:hAnsi="Times New Roman"/>
                <w:sz w:val="28"/>
                <w:szCs w:val="28"/>
                <w:lang w:val="uk-UA"/>
              </w:rPr>
              <w:t xml:space="preserve">      Судді районних, районних у місті, міських чи</w:t>
            </w:r>
          </w:p>
          <w:p w:rsidR="009948C2" w:rsidRPr="00831316" w:rsidP="00831316">
            <w:pPr>
              <w:bidi w:val="0"/>
              <w:jc w:val="both"/>
              <w:rPr>
                <w:rFonts w:ascii="Times New Roman" w:hAnsi="Times New Roman"/>
                <w:b/>
                <w:sz w:val="28"/>
                <w:szCs w:val="28"/>
                <w:lang w:val="uk-UA"/>
              </w:rPr>
            </w:pPr>
            <w:r w:rsidRPr="00831316">
              <w:rPr>
                <w:rFonts w:ascii="Times New Roman" w:hAnsi="Times New Roman"/>
                <w:sz w:val="28"/>
                <w:szCs w:val="28"/>
                <w:lang w:val="uk-UA"/>
              </w:rPr>
              <w:t xml:space="preserve">міськрайонних судів розглядають справи про  адміністративні правопорушення, передбачені  частинами  першою  -  четвертою  та сьомою статті 41, статтями  41-1  -  41-3,  42-1,  42-2,  частиною першою статті 44, статтями  44-1,  46-1, 46-2, 51, 51-2, частинами другою, четвертою та п'ятою  статті  85,  статтями  85-1, 88-88-2, 90, 91, 92-1, статтями  98, 101-103, частиною першою статті 106-1, статтями 06-2, 107-1, частиною другою статті 112, частинами четвертою та сьомою статті 121, частиною четвертою статті 122, статтями 122-2, 122-4, 122-5, частинами другою і третьою статті 123, статтею 124, частиною четвертою статті 127, статтею 127-1, статтею  130, частиною третьою статті 133, статтями 135-1, 139,  частиною четвертою статті 140, статтями 146, 149-1, частиною другою статті 154, статтею 155-1, частинами першою, третьою і четвертою статті 156,  статтями 160,  162  - 162-3, 163-1 - 163-4, частиною другою статті 163-7, статтями 163-12, 164, 164-3, </w:t>
            </w:r>
            <w:r w:rsidRPr="00831316">
              <w:rPr>
                <w:rFonts w:ascii="Times New Roman" w:hAnsi="Times New Roman"/>
                <w:b/>
                <w:sz w:val="28"/>
                <w:szCs w:val="28"/>
                <w:lang w:val="uk-UA"/>
              </w:rPr>
              <w:t>164-5 - 164-17</w:t>
            </w:r>
            <w:r w:rsidRPr="00831316">
              <w:rPr>
                <w:rFonts w:ascii="Times New Roman" w:hAnsi="Times New Roman"/>
                <w:sz w:val="28"/>
                <w:szCs w:val="28"/>
                <w:lang w:val="uk-UA"/>
              </w:rPr>
              <w:t>,166-1-166-4, частинами першою, другою, дев'ятою та десятою статті 166-6, 166-8-166-12,  166-14-166-18, 166-21, 166-22, 166-23, 171-2, 172-4 - 172-20, 173 - 173-2, 174, 177-2, частиною третьою статті 178, статтею 180-1, частинами першою, другою і третьою статті 181, частиною другою статті 182, статтями 184 - 185-11, 185-13, 186-5 - 186-7, 187, 188,  188-1, 188-13 (крім справ про адміністративні правопорушення, пов’язані з невиконанням законних вимог державного виконавця), 188-14, 188-16, 188-17, 188-19, 188-22, 188-25, 188-27, 188-28, 188-31, 188-32, 188-33, 188-34, 188-35, 188-38, 188-39, 188-40, 188-41, 188-45, 188-46, 188-47, 188-48, частиною першою статті 189-1, статтями 189-3, 190, 191, 193, 195-1 - 195-6, статтями 204-1, 204-2, 204-3, 206-1, 212-2 - 212-21 цього Кодексу, а також справи про адміністративні правопорушення, вчинені особами віком від шістнадцяти до вісімнадцяти років.</w:t>
            </w:r>
          </w:p>
        </w:tc>
      </w:tr>
      <w:tr>
        <w:tblPrEx>
          <w:tblW w:w="0" w:type="auto"/>
          <w:tblLook w:val="00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9948C2" w:rsidRPr="005960CE" w:rsidP="005960CE">
            <w:pPr>
              <w:bidi w:val="0"/>
              <w:adjustRightInd w:val="0"/>
              <w:ind w:firstLine="567"/>
              <w:jc w:val="center"/>
              <w:rPr>
                <w:rFonts w:ascii="Times New Roman" w:hAnsi="Times New Roman"/>
                <w:b/>
                <w:sz w:val="28"/>
                <w:szCs w:val="28"/>
                <w:lang w:val="uk-UA"/>
              </w:rPr>
            </w:pPr>
            <w:r w:rsidRPr="00831316">
              <w:rPr>
                <w:rFonts w:ascii="Times New Roman" w:hAnsi="Times New Roman"/>
                <w:b/>
                <w:sz w:val="28"/>
                <w:szCs w:val="28"/>
                <w:lang w:val="uk-UA"/>
              </w:rPr>
              <w:t>Закон України «Про страхування»</w:t>
            </w:r>
          </w:p>
        </w:tc>
      </w:tr>
      <w:tr>
        <w:tblPrEx>
          <w:tblW w:w="0" w:type="auto"/>
          <w:tblLook w:val="00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shd w:val="clear" w:color="auto" w:fill="FFFFFF"/>
              <w:bidi w:val="0"/>
              <w:ind w:firstLine="450"/>
              <w:jc w:val="both"/>
              <w:textAlignment w:val="baseline"/>
              <w:rPr>
                <w:rFonts w:ascii="Times New Roman" w:hAnsi="Times New Roman"/>
                <w:sz w:val="28"/>
                <w:szCs w:val="28"/>
                <w:lang w:val="uk-UA"/>
              </w:rPr>
            </w:pPr>
            <w:r w:rsidRPr="00831316">
              <w:rPr>
                <w:rFonts w:ascii="Times New Roman" w:hAnsi="Times New Roman"/>
                <w:sz w:val="28"/>
                <w:szCs w:val="28"/>
                <w:lang w:val="uk-UA"/>
              </w:rPr>
              <w:t>Стаття 7. Види обов'язкового страхування</w:t>
            </w:r>
          </w:p>
          <w:p w:rsidR="009948C2" w:rsidRPr="00831316" w:rsidP="00831316">
            <w:pPr>
              <w:bidi w:val="0"/>
              <w:adjustRightInd w:val="0"/>
              <w:ind w:firstLine="567"/>
              <w:jc w:val="both"/>
              <w:rPr>
                <w:rFonts w:ascii="Times New Roman" w:hAnsi="Times New Roman"/>
                <w:sz w:val="28"/>
                <w:szCs w:val="28"/>
                <w:lang w:val="uk-UA"/>
              </w:rPr>
            </w:pPr>
            <w:r w:rsidRPr="00831316">
              <w:rPr>
                <w:rFonts w:ascii="Times New Roman" w:hAnsi="Times New Roman"/>
                <w:sz w:val="28"/>
                <w:szCs w:val="28"/>
                <w:lang w:val="uk-UA"/>
              </w:rPr>
              <w:t>47) страхування професійної відповідальності  призначених органів  з оцінки відповідності та визнаних незалежних організацій за шкоду, яку може бути заподіяно третім особам.</w:t>
            </w:r>
          </w:p>
          <w:p w:rsidR="009948C2" w:rsidRPr="00831316" w:rsidP="00831316">
            <w:pPr>
              <w:bidi w:val="0"/>
              <w:adjustRightInd w:val="0"/>
              <w:ind w:firstLine="567"/>
              <w:jc w:val="both"/>
              <w:rPr>
                <w:rFonts w:ascii="Times New Roman" w:hAnsi="Times New Roman"/>
                <w:sz w:val="28"/>
                <w:szCs w:val="28"/>
                <w:lang w:val="uk-UA"/>
              </w:rPr>
            </w:pPr>
          </w:p>
          <w:p w:rsidR="009948C2" w:rsidRPr="00831316" w:rsidP="00E952B7">
            <w:pPr>
              <w:bidi w:val="0"/>
              <w:rPr>
                <w:rFonts w:ascii="Times New Roman" w:hAnsi="Times New Roman"/>
                <w:b/>
                <w:sz w:val="28"/>
                <w:szCs w:val="28"/>
              </w:rPr>
            </w:pPr>
            <w:r w:rsidRPr="00831316">
              <w:rPr>
                <w:rFonts w:ascii="Times New Roman" w:hAnsi="Times New Roman"/>
                <w:b/>
                <w:sz w:val="28"/>
                <w:szCs w:val="28"/>
                <w:lang w:val="uk-UA"/>
              </w:rPr>
              <w:t>Відсутня</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948C2" w:rsidRPr="00831316" w:rsidP="00831316">
            <w:pPr>
              <w:bidi w:val="0"/>
              <w:jc w:val="center"/>
              <w:rPr>
                <w:rFonts w:ascii="Times New Roman" w:hAnsi="Times New Roman"/>
                <w:sz w:val="28"/>
                <w:szCs w:val="28"/>
                <w:lang w:val="uk-UA"/>
              </w:rPr>
            </w:pPr>
            <w:r w:rsidRPr="00831316">
              <w:rPr>
                <w:rFonts w:ascii="Times New Roman" w:hAnsi="Times New Roman"/>
                <w:sz w:val="28"/>
                <w:szCs w:val="28"/>
                <w:lang w:val="uk-UA"/>
              </w:rPr>
              <w:t>Стаття 7. Види обов'язкового страхування</w:t>
            </w:r>
          </w:p>
          <w:p w:rsidR="009948C2" w:rsidRPr="00831316" w:rsidP="00831316">
            <w:pPr>
              <w:bidi w:val="0"/>
              <w:adjustRightInd w:val="0"/>
              <w:ind w:firstLine="567"/>
              <w:jc w:val="both"/>
              <w:rPr>
                <w:rFonts w:ascii="Times New Roman" w:hAnsi="Times New Roman"/>
                <w:sz w:val="28"/>
                <w:szCs w:val="28"/>
                <w:lang w:val="uk-UA"/>
              </w:rPr>
            </w:pPr>
            <w:r w:rsidRPr="00831316">
              <w:rPr>
                <w:rFonts w:ascii="Times New Roman" w:hAnsi="Times New Roman"/>
                <w:sz w:val="28"/>
                <w:szCs w:val="28"/>
                <w:lang w:val="uk-UA"/>
              </w:rPr>
              <w:t>47) страхування професійної відповідальності  призначених органів  з оцінки відповідності та визнаних незалежних організацій за шкоду, яку може бути заподіяно третім особам.</w:t>
            </w:r>
          </w:p>
          <w:p w:rsidR="009948C2" w:rsidRPr="00831316" w:rsidP="00831316">
            <w:pPr>
              <w:bidi w:val="0"/>
              <w:adjustRightInd w:val="0"/>
              <w:ind w:firstLine="567"/>
              <w:jc w:val="both"/>
              <w:rPr>
                <w:rFonts w:ascii="Times New Roman" w:hAnsi="Times New Roman"/>
                <w:color w:val="000000"/>
                <w:sz w:val="28"/>
                <w:szCs w:val="28"/>
                <w:lang w:val="uk-UA"/>
              </w:rPr>
            </w:pPr>
            <w:r w:rsidRPr="00831316">
              <w:rPr>
                <w:rFonts w:ascii="Times New Roman" w:hAnsi="Times New Roman"/>
                <w:b/>
                <w:color w:val="000000"/>
                <w:sz w:val="28"/>
                <w:szCs w:val="28"/>
                <w:lang w:val="uk-UA"/>
              </w:rPr>
              <w:t>48) страхування цивільно-правової відповідальності суб’єкта колекторської діяльності</w:t>
            </w:r>
            <w:r w:rsidRPr="00831316">
              <w:rPr>
                <w:rFonts w:ascii="Times New Roman" w:hAnsi="Times New Roman"/>
                <w:color w:val="000000"/>
                <w:sz w:val="28"/>
                <w:szCs w:val="28"/>
                <w:lang w:val="uk-UA"/>
              </w:rPr>
              <w:t>;</w:t>
            </w:r>
          </w:p>
          <w:p w:rsidR="009948C2" w:rsidRPr="00831316" w:rsidP="00831316">
            <w:pPr>
              <w:bidi w:val="0"/>
              <w:jc w:val="center"/>
              <w:rPr>
                <w:rFonts w:ascii="Times New Roman" w:hAnsi="Times New Roman"/>
                <w:b/>
                <w:sz w:val="28"/>
                <w:szCs w:val="28"/>
                <w:lang w:val="uk-UA"/>
              </w:rPr>
            </w:pPr>
          </w:p>
        </w:tc>
      </w:tr>
    </w:tbl>
    <w:p w:rsidR="00490BAA" w:rsidRPr="00490BAA" w:rsidP="00490BAA">
      <w:pPr>
        <w:bidi w:val="0"/>
        <w:ind w:firstLine="720"/>
        <w:jc w:val="both"/>
        <w:rPr>
          <w:rFonts w:ascii="Times New Roman" w:hAnsi="Times New Roman"/>
          <w:b/>
          <w:bCs/>
          <w:lang w:val="uk-UA"/>
        </w:rPr>
      </w:pPr>
    </w:p>
    <w:p w:rsidR="00490BAA" w:rsidRPr="00490BAA" w:rsidP="00490BAA">
      <w:pPr>
        <w:bidi w:val="0"/>
        <w:ind w:firstLine="720"/>
        <w:jc w:val="both"/>
        <w:rPr>
          <w:rFonts w:ascii="Times New Roman" w:hAnsi="Times New Roman"/>
          <w:b/>
          <w:bCs/>
          <w:sz w:val="28"/>
          <w:szCs w:val="28"/>
        </w:rPr>
      </w:pPr>
      <w:r w:rsidRPr="00490BAA">
        <w:rPr>
          <w:rFonts w:ascii="Times New Roman" w:hAnsi="Times New Roman"/>
          <w:b/>
          <w:bCs/>
          <w:sz w:val="28"/>
          <w:szCs w:val="28"/>
        </w:rPr>
        <w:t>Народний  депутат  України</w:t>
        <w:tab/>
        <w:tab/>
      </w:r>
      <w:r>
        <w:rPr>
          <w:rFonts w:ascii="Times New Roman" w:hAnsi="Times New Roman"/>
          <w:b/>
          <w:bCs/>
          <w:sz w:val="28"/>
          <w:szCs w:val="28"/>
          <w:lang w:val="uk-UA"/>
        </w:rPr>
        <w:t xml:space="preserve">                                     </w:t>
      </w:r>
      <w:r w:rsidRPr="00490BAA">
        <w:rPr>
          <w:rFonts w:ascii="Times New Roman" w:hAnsi="Times New Roman"/>
          <w:b/>
          <w:bCs/>
          <w:sz w:val="28"/>
          <w:szCs w:val="28"/>
        </w:rPr>
        <w:t>Тимошенко Ю.В.</w:t>
      </w:r>
    </w:p>
    <w:p w:rsidR="00490BAA" w:rsidRPr="00490BAA" w:rsidP="00490BAA">
      <w:pPr>
        <w:bidi w:val="0"/>
        <w:ind w:firstLine="720"/>
        <w:jc w:val="both"/>
        <w:rPr>
          <w:rFonts w:ascii="Times New Roman" w:hAnsi="Times New Roman"/>
          <w:b/>
          <w:bCs/>
          <w:sz w:val="28"/>
          <w:szCs w:val="28"/>
        </w:rPr>
      </w:pPr>
      <w:r w:rsidRPr="00490BAA">
        <w:rPr>
          <w:rFonts w:ascii="Times New Roman" w:hAnsi="Times New Roman"/>
          <w:b/>
          <w:bCs/>
          <w:sz w:val="28"/>
          <w:szCs w:val="28"/>
        </w:rPr>
        <w:t xml:space="preserve">                                                                   </w:t>
      </w:r>
      <w:r>
        <w:rPr>
          <w:rFonts w:ascii="Times New Roman" w:hAnsi="Times New Roman"/>
          <w:b/>
          <w:bCs/>
          <w:sz w:val="28"/>
          <w:szCs w:val="28"/>
          <w:lang w:val="uk-UA"/>
        </w:rPr>
        <w:t xml:space="preserve">                                     </w:t>
      </w:r>
      <w:r w:rsidRPr="00490BAA">
        <w:rPr>
          <w:rFonts w:ascii="Times New Roman" w:hAnsi="Times New Roman"/>
          <w:b/>
          <w:bCs/>
          <w:sz w:val="28"/>
          <w:szCs w:val="28"/>
        </w:rPr>
        <w:t xml:space="preserve">    Ніколаєнко А.І.</w:t>
      </w:r>
    </w:p>
    <w:p w:rsidR="00490BAA" w:rsidRPr="00490BAA" w:rsidP="00490BAA">
      <w:pPr>
        <w:bidi w:val="0"/>
        <w:ind w:firstLine="720"/>
        <w:jc w:val="center"/>
        <w:rPr>
          <w:rFonts w:ascii="Times New Roman" w:hAnsi="Times New Roman"/>
          <w:b/>
          <w:bCs/>
          <w:sz w:val="28"/>
          <w:szCs w:val="28"/>
        </w:rPr>
      </w:pPr>
      <w:r w:rsidRPr="00490BAA">
        <w:rPr>
          <w:rFonts w:ascii="Times New Roman" w:hAnsi="Times New Roman"/>
          <w:b/>
          <w:bCs/>
          <w:sz w:val="28"/>
          <w:szCs w:val="28"/>
        </w:rPr>
        <w:t xml:space="preserve">                                        Тарута С.О.</w:t>
      </w:r>
    </w:p>
    <w:p w:rsidR="00490BAA" w:rsidRPr="00490BAA" w:rsidP="00490BAA">
      <w:pPr>
        <w:bidi w:val="0"/>
        <w:ind w:firstLine="720"/>
        <w:jc w:val="center"/>
        <w:rPr>
          <w:rFonts w:ascii="Times New Roman" w:hAnsi="Times New Roman"/>
          <w:b/>
          <w:bCs/>
          <w:sz w:val="28"/>
          <w:szCs w:val="28"/>
        </w:rPr>
      </w:pPr>
      <w:r w:rsidRPr="00490BAA">
        <w:rPr>
          <w:rFonts w:ascii="Times New Roman" w:hAnsi="Times New Roman"/>
          <w:b/>
          <w:bCs/>
          <w:sz w:val="28"/>
          <w:szCs w:val="28"/>
        </w:rPr>
        <w:t xml:space="preserve">                                         Івченко В.Є.</w:t>
      </w:r>
    </w:p>
    <w:p w:rsidR="00490BAA" w:rsidRPr="00490BAA" w:rsidP="00490BAA">
      <w:pPr>
        <w:bidi w:val="0"/>
        <w:ind w:firstLine="720"/>
        <w:jc w:val="center"/>
        <w:rPr>
          <w:rFonts w:ascii="Times New Roman" w:hAnsi="Times New Roman"/>
          <w:b/>
          <w:bCs/>
          <w:sz w:val="28"/>
          <w:szCs w:val="28"/>
        </w:rPr>
      </w:pPr>
      <w:r w:rsidRPr="00490BAA">
        <w:rPr>
          <w:rFonts w:ascii="Times New Roman" w:hAnsi="Times New Roman"/>
          <w:b/>
          <w:bCs/>
          <w:sz w:val="28"/>
          <w:szCs w:val="28"/>
        </w:rPr>
        <w:t xml:space="preserve">                                              Лабунська А.В.</w:t>
      </w:r>
    </w:p>
    <w:p w:rsidR="00490BAA" w:rsidRPr="00490BAA" w:rsidP="00490BAA">
      <w:pPr>
        <w:bidi w:val="0"/>
        <w:ind w:firstLine="720"/>
        <w:jc w:val="center"/>
        <w:rPr>
          <w:rFonts w:ascii="Times New Roman" w:hAnsi="Times New Roman"/>
          <w:b/>
          <w:bCs/>
          <w:sz w:val="28"/>
          <w:szCs w:val="28"/>
        </w:rPr>
      </w:pPr>
      <w:r w:rsidRPr="00490BAA">
        <w:rPr>
          <w:rFonts w:ascii="Times New Roman" w:hAnsi="Times New Roman"/>
          <w:b/>
          <w:bCs/>
          <w:sz w:val="28"/>
          <w:szCs w:val="28"/>
        </w:rPr>
        <w:t xml:space="preserve">                                              Кабаченко В.В.</w:t>
      </w:r>
    </w:p>
    <w:p w:rsidR="00490BAA" w:rsidRPr="00490BAA" w:rsidP="00490BAA">
      <w:pPr>
        <w:bidi w:val="0"/>
        <w:ind w:firstLine="720"/>
        <w:jc w:val="center"/>
        <w:rPr>
          <w:rFonts w:ascii="Times New Roman" w:hAnsi="Times New Roman"/>
          <w:b/>
          <w:bCs/>
          <w:sz w:val="28"/>
          <w:szCs w:val="28"/>
        </w:rPr>
      </w:pPr>
      <w:r w:rsidRPr="00490BAA">
        <w:rPr>
          <w:rFonts w:ascii="Times New Roman" w:hAnsi="Times New Roman"/>
          <w:b/>
          <w:bCs/>
          <w:sz w:val="28"/>
          <w:szCs w:val="28"/>
        </w:rPr>
        <w:t xml:space="preserve">                                                Цимбалюк М.М.</w:t>
      </w:r>
    </w:p>
    <w:p w:rsidR="009948C2" w:rsidRPr="009E033B">
      <w:pPr>
        <w:bidi w:val="0"/>
        <w:jc w:val="center"/>
        <w:rPr>
          <w:rFonts w:ascii="Times New Roman" w:hAnsi="Times New Roman"/>
          <w:b/>
          <w:sz w:val="28"/>
          <w:szCs w:val="28"/>
        </w:rPr>
      </w:pPr>
    </w:p>
    <w:sectPr w:rsidSect="005960CE">
      <w:headerReference w:type="even" r:id="rId4"/>
      <w:headerReference w:type="default" r:id="rId5"/>
      <w:pgSz w:w="16838" w:h="11906" w:orient="landscape"/>
      <w:pgMar w:top="899" w:right="1134" w:bottom="850" w:left="1134"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Arial Unicode MS">
    <w:altName w:val="Meiryo"/>
    <w:panose1 w:val="020B0604020202020204"/>
    <w:charset w:val="00"/>
    <w:family w:val="roman"/>
    <w:pitch w:val="variable"/>
    <w:sig w:usb0="00000000" w:usb1="00000000" w:usb2="00000000" w:usb3="00000000" w:csb0="00000001" w:csb1="00000000"/>
  </w:font>
  <w:font w:name="Calibri">
    <w:altName w:val="Arial"/>
    <w:panose1 w:val="020F05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CE" w:rsidP="00CF50B5">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5960CE">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CE" w:rsidP="00CF50B5">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490BAA">
      <w:rPr>
        <w:rStyle w:val="PageNumber"/>
        <w:rFonts w:ascii="Times New Roman" w:hAnsi="Times New Roman"/>
        <w:noProof/>
      </w:rPr>
      <w:t>4</w:t>
    </w:r>
    <w:r>
      <w:rPr>
        <w:rStyle w:val="PageNumber"/>
        <w:rFonts w:ascii="Times New Roman" w:hAnsi="Times New Roman"/>
      </w:rPr>
      <w:fldChar w:fldCharType="end"/>
    </w:r>
  </w:p>
  <w:p w:rsidR="005960CE">
    <w:pPr>
      <w:pStyle w:val="Header"/>
      <w:bidi w:val="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doNotUseIndentAsNumberingTabStop/>
    <w:allowSpaceOfSameStyleInTable/>
    <w:splitPgBreakAndParaMark/>
    <w:useAnsiKerningPairs/>
  </w:compat>
  <w:rsids>
    <w:rsidRoot w:val="00A62E63"/>
    <w:rsid w:val="00012E51"/>
    <w:rsid w:val="00054F67"/>
    <w:rsid w:val="000F507F"/>
    <w:rsid w:val="00105265"/>
    <w:rsid w:val="0012289C"/>
    <w:rsid w:val="00185AB9"/>
    <w:rsid w:val="00212495"/>
    <w:rsid w:val="002317A7"/>
    <w:rsid w:val="002329E9"/>
    <w:rsid w:val="00254C7C"/>
    <w:rsid w:val="00260ED4"/>
    <w:rsid w:val="00361AAD"/>
    <w:rsid w:val="0037605C"/>
    <w:rsid w:val="00412FBE"/>
    <w:rsid w:val="00490BAA"/>
    <w:rsid w:val="0049361C"/>
    <w:rsid w:val="004A73FB"/>
    <w:rsid w:val="004C4AE0"/>
    <w:rsid w:val="004D11EF"/>
    <w:rsid w:val="0054086C"/>
    <w:rsid w:val="00551571"/>
    <w:rsid w:val="00587F97"/>
    <w:rsid w:val="005960CE"/>
    <w:rsid w:val="005D041D"/>
    <w:rsid w:val="00646DBF"/>
    <w:rsid w:val="006F35F1"/>
    <w:rsid w:val="00704FC6"/>
    <w:rsid w:val="007C0DA3"/>
    <w:rsid w:val="007D6981"/>
    <w:rsid w:val="00831316"/>
    <w:rsid w:val="0085552E"/>
    <w:rsid w:val="00984A1B"/>
    <w:rsid w:val="009948C2"/>
    <w:rsid w:val="009A58D3"/>
    <w:rsid w:val="009D556F"/>
    <w:rsid w:val="009E033B"/>
    <w:rsid w:val="00A24386"/>
    <w:rsid w:val="00A62E63"/>
    <w:rsid w:val="00A956E1"/>
    <w:rsid w:val="00AD2A44"/>
    <w:rsid w:val="00AD2CBA"/>
    <w:rsid w:val="00B30EF9"/>
    <w:rsid w:val="00B639B6"/>
    <w:rsid w:val="00CF50B5"/>
    <w:rsid w:val="00DA2613"/>
    <w:rsid w:val="00DB7AD3"/>
    <w:rsid w:val="00DD2513"/>
    <w:rsid w:val="00E67EFC"/>
    <w:rsid w:val="00E952B7"/>
    <w:rsid w:val="00F01F23"/>
    <w:rsid w:val="00F142E4"/>
    <w:rsid w:val="00F5623E"/>
    <w:rsid w:val="00FC13B8"/>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9E033B"/>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table" w:styleId="TableGrid">
    <w:name w:val="Table Grid"/>
    <w:basedOn w:val="TableNormal"/>
    <w:uiPriority w:val="99"/>
    <w:rsid w:val="009E033B"/>
    <w:rPr>
      <w:noProof w:val="0"/>
      <w:lang w:val="uk-UA" w:eastAsia="uk-UA"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Normal"/>
    <w:uiPriority w:val="99"/>
    <w:rsid w:val="007C0DA3"/>
    <w:pPr>
      <w:spacing w:before="100" w:beforeAutospacing="1" w:after="100" w:afterAutospacing="1"/>
      <w:jc w:val="left"/>
    </w:pPr>
  </w:style>
  <w:style w:type="character" w:customStyle="1" w:styleId="rvts9">
    <w:name w:val="rvts9"/>
    <w:uiPriority w:val="99"/>
    <w:rsid w:val="007C0DA3"/>
  </w:style>
  <w:style w:type="paragraph" w:styleId="NormalWeb">
    <w:name w:val="Normal (Web)"/>
    <w:basedOn w:val="Normal"/>
    <w:uiPriority w:val="99"/>
    <w:rsid w:val="0037605C"/>
    <w:pPr>
      <w:spacing w:before="100" w:beforeAutospacing="1" w:after="100" w:afterAutospacing="1"/>
      <w:jc w:val="left"/>
    </w:pPr>
    <w:rPr>
      <w:rFonts w:ascii="Arial Unicode MS" w:eastAsia="Calibri" w:hAnsi="Arial Unicode MS" w:cs="Arial Unicode MS"/>
    </w:rPr>
  </w:style>
  <w:style w:type="paragraph" w:styleId="HTMLPreformatted">
    <w:name w:val="HTML Preformatted"/>
    <w:aliases w:val="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Знак Знак1,Знак Знак14,Знак2,Стандартный HTML1"/>
    <w:basedOn w:val="Normal"/>
    <w:link w:val="HTMLPreformattedChar"/>
    <w:uiPriority w:val="99"/>
    <w:rsid w:val="00704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4"/>
      <w:szCs w:val="14"/>
      <w:lang w:val="uk-UA" w:eastAsia="uk-UA"/>
    </w:rPr>
  </w:style>
  <w:style w:type="character" w:customStyle="1" w:styleId="HTMLPreformattedChar">
    <w:name w:val="HTML Preformatted Char"/>
    <w:aliases w:val="Знак Знак Знак Знак Знак Знак Знак Знак Char,Знак Знак Знак Знак Знак Знак Знак Знак Знак Знак Знак Знак Знак Char,Знак Знак1 Char,Знак Знак14 Char,Знак2 Char,Стандартный HTML1 Char"/>
    <w:basedOn w:val="DefaultParagraphFont"/>
    <w:link w:val="HTMLPreformatted"/>
    <w:uiPriority w:val="99"/>
    <w:locked/>
    <w:rsid w:val="00704FC6"/>
    <w:rPr>
      <w:rFonts w:ascii="Courier New" w:hAnsi="Courier New" w:cs="Times New Roman"/>
      <w:color w:val="000000"/>
      <w:sz w:val="14"/>
      <w:szCs w:val="14"/>
      <w:rtl w:val="0"/>
      <w:cs w:val="0"/>
      <w:lang w:val="uk-UA" w:eastAsia="uk-UA"/>
    </w:rPr>
  </w:style>
  <w:style w:type="paragraph" w:styleId="Header">
    <w:name w:val="header"/>
    <w:basedOn w:val="Normal"/>
    <w:uiPriority w:val="99"/>
    <w:rsid w:val="005960CE"/>
    <w:pPr>
      <w:tabs>
        <w:tab w:val="center" w:pos="4819"/>
        <w:tab w:val="right" w:pos="9639"/>
      </w:tabs>
      <w:jc w:val="left"/>
    </w:pPr>
  </w:style>
  <w:style w:type="character" w:styleId="PageNumber">
    <w:name w:val="page number"/>
    <w:basedOn w:val="DefaultParagraphFont"/>
    <w:uiPriority w:val="99"/>
    <w:rsid w:val="005960CE"/>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2</TotalTime>
  <Pages>4</Pages>
  <Words>5768</Words>
  <Characters>3288</Characters>
  <Application>Microsoft Office Word</Application>
  <DocSecurity>0</DocSecurity>
  <Lines>0</Lines>
  <Paragraphs>0</Paragraphs>
  <ScaleCrop>false</ScaleCrop>
  <Company>*</Company>
  <LinksUpToDate>false</LinksUpToDate>
  <CharactersWithSpaces>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moyo</dc:creator>
  <cp:lastModifiedBy>pokotylo-o</cp:lastModifiedBy>
  <cp:revision>4</cp:revision>
  <dcterms:created xsi:type="dcterms:W3CDTF">2019-09-09T11:36:00Z</dcterms:created>
  <dcterms:modified xsi:type="dcterms:W3CDTF">2019-09-12T13:10:00Z</dcterms:modified>
</cp:coreProperties>
</file>