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939BC" w:rsidRPr="00193098" w:rsidP="000939BC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93098">
        <w:rPr>
          <w:rFonts w:ascii="Times New Roman" w:hAnsi="Times New Roman"/>
          <w:b/>
          <w:bCs/>
          <w:sz w:val="28"/>
          <w:szCs w:val="28"/>
        </w:rPr>
        <w:t xml:space="preserve">Порівняльна таблиця до проекту Закону України </w:t>
      </w:r>
    </w:p>
    <w:p w:rsidR="00B157FB" w:rsidRPr="006C1F1B" w:rsidP="00B157FB">
      <w:pPr>
        <w:pStyle w:val="Heading2"/>
        <w:bidi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3098" w:rsidR="000939BC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про внесення змін </w:t>
      </w:r>
      <w:r w:rsidRPr="00193098">
        <w:rPr>
          <w:rFonts w:ascii="Times New Roman" w:hAnsi="Times New Roman" w:cs="Times New Roman"/>
          <w:sz w:val="28"/>
          <w:szCs w:val="28"/>
          <w:lang w:val="uk-UA"/>
        </w:rPr>
        <w:t>до статті 288 Податкового кодексу України щодо встановлення мінімального розміру плати за оренду земельних ділянок під зоологічні парки</w:t>
      </w:r>
    </w:p>
    <w:p w:rsidR="000A2A2D" w:rsidRPr="006C1F1B" w:rsidP="000939BC">
      <w:pPr>
        <w:bidi w:val="0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val="en-US"/>
        </w:rPr>
      </w:pPr>
    </w:p>
    <w:tbl>
      <w:tblPr>
        <w:tblStyle w:val="TableNormal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68"/>
        <w:gridCol w:w="7560"/>
      </w:tblGrid>
      <w:tr>
        <w:tblPrEx>
          <w:tblW w:w="152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157FB" w:rsidRPr="006C1F1B" w:rsidP="009941A2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1F1B">
              <w:rPr>
                <w:rFonts w:ascii="Times New Roman" w:hAnsi="Times New Roman"/>
                <w:b/>
                <w:sz w:val="28"/>
                <w:szCs w:val="28"/>
              </w:rPr>
              <w:t>Податковий кодекс України</w:t>
            </w:r>
          </w:p>
        </w:tc>
      </w:tr>
      <w:tr>
        <w:tblPrEx>
          <w:tblW w:w="15228" w:type="dxa"/>
          <w:tblLook w:val="00A0"/>
        </w:tblPrEx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157FB" w:rsidRPr="006C1F1B" w:rsidP="009941A2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1F1B">
              <w:rPr>
                <w:rFonts w:ascii="Times New Roman" w:hAnsi="Times New Roman"/>
                <w:b/>
                <w:sz w:val="28"/>
                <w:szCs w:val="28"/>
              </w:rPr>
              <w:t>Чинна  редакція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157FB" w:rsidRPr="006C1F1B" w:rsidP="009941A2">
            <w:pPr>
              <w:bidi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1F1B">
              <w:rPr>
                <w:rFonts w:ascii="Times New Roman" w:hAnsi="Times New Roman"/>
                <w:b/>
                <w:sz w:val="28"/>
                <w:szCs w:val="28"/>
              </w:rPr>
              <w:t>Пропонована редакція</w:t>
            </w:r>
          </w:p>
        </w:tc>
      </w:tr>
      <w:tr>
        <w:tblPrEx>
          <w:tblW w:w="15228" w:type="dxa"/>
          <w:tblLook w:val="00A0"/>
        </w:tblPrEx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157FB" w:rsidRPr="006C1F1B" w:rsidP="009941A2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C1F1B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bdr w:val="nil"/>
                <w:shd w:val="clear" w:color="auto" w:fill="FFFFFF"/>
              </w:rPr>
              <w:t>Стаття 288.</w:t>
            </w:r>
            <w:r w:rsidRPr="006C1F1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C1F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Орендна плата</w:t>
            </w:r>
          </w:p>
          <w:p w:rsidR="00CD3C86" w:rsidP="00CD3C8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5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(…)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 Розмір орендної плати встановлюється у договорі оренди, але річна сума платежу: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n11962"/>
            <w:bookmarkEnd w:id="0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288.5.1. не може бути меншою за розмір земельного податку: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" w:name="n14914"/>
            <w:bookmarkEnd w:id="1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для 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" w:name="n14915"/>
            <w:bookmarkEnd w:id="2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для земельних ділянок, нормативну грошову оцінку яких не проведено, - у розмірі не більше 5 відсотків нормативної грошової оцінки одиниці площі ріллі по Автономній Республіці Крим або по області, для сільськогосподарських угідь - не менше 0,3 відсотка та не більше 5 відсотків нормативної грошової оцінки одиниці площі ріллі по Автономній Республіці Крим або по області;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" w:name="n14400"/>
            <w:bookmarkStart w:id="4" w:name="n11963"/>
            <w:bookmarkEnd w:id="3"/>
            <w:bookmarkEnd w:id="4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288.5.2. не може перевищувати 12 відсотків нормативної грошової оцінки.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5" w:name="n12377"/>
            <w:bookmarkEnd w:id="5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288.5.3. може перевищувати граничний розмір орендної плати, встановлений у підпункті 288.5.2, у разі визначення орендаря на конкурентних засадах.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6" w:name="n12376"/>
            <w:bookmarkStart w:id="7" w:name="n13372"/>
            <w:bookmarkEnd w:id="6"/>
            <w:bookmarkEnd w:id="7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288.5.4. для пасовищ у населених пунктах, яким надано статус гірських, не може перевищувати розміру земельного податку.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8" w:name="n13371"/>
            <w:bookmarkStart w:id="9" w:name="n14402"/>
            <w:bookmarkEnd w:id="8"/>
            <w:bookmarkEnd w:id="9"/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288.5.5. для баз олімпійської, паралімпійської та дефлімпійської підготовки, </w:t>
            </w:r>
            <w:hyperlink r:id="rId4" w:anchor="n18" w:tgtFrame="_blank" w:history="1">
              <w:r w:rsidRPr="00CD3C86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>перелік</w:t>
              </w:r>
            </w:hyperlink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 яких затверджується Кабінетом Міністрів України, не може перевищувати 0,1 відсотка нормативної грошової оцінки.</w:t>
            </w:r>
          </w:p>
          <w:p w:rsidR="00B157FB" w:rsidRPr="006C1F1B" w:rsidP="00CD3C8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5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157FB" w:rsidRPr="006C1F1B" w:rsidP="009941A2">
            <w:pPr>
              <w:bidi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C1F1B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bdr w:val="nil"/>
                <w:shd w:val="clear" w:color="auto" w:fill="FFFFFF"/>
              </w:rPr>
              <w:t>Стаття 288.</w:t>
            </w:r>
            <w:r w:rsidRPr="006C1F1B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C1F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Орендна плата</w:t>
            </w:r>
          </w:p>
          <w:p w:rsidR="00CD3C86" w:rsidP="00CD3C8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5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(…)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 Розмір орендної плати встановлюється у договорі оренди, але річна сума платежу: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288.5.1. не може бути меншою за розмір земельного податку: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для земельних ділянок, нормативну грошову оцінку яких проведено, - у розмірі не більше 3 відсотків їх нормативної грошової оцінки, для земель загального користування - не більше 1 відсотка їх нормативної грошової оцінки, для сільськогосподарських угідь - не менше 0,3 відсотка та не більше 1 відсотка їх нормативної грошової оцінки;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для земельних ділянок, нормативну грошову оцінку яких не проведено, - у розмірі не більше 5 відсотків нормативної грошової оцінки одиниці площі ріллі по Автономній Республіці Крим або по області, для сільськогосподарських угідь - не менше 0,3 відсотка та не більше 5 відсотків нормативної грошової оцінки одиниці площі ріллі по Автономній Республіці Крим або по області;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288.5.2. не може перевищувати 12 відсотків нормативної грошової оцінки.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288.5.3. може перевищувати граничний розмір орендної плати, встановлений у підпункті 288.5.2, у разі визначення орендаря на конкурентних засадах.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288.5.4. для пасовищ у населених пунктах, яким надано статус гірських, не може перевищувати розміру земельного податку.</w:t>
            </w:r>
          </w:p>
          <w:p w:rsidR="00CD3C86" w:rsidRPr="00CD3C86" w:rsidP="00CD3C86">
            <w:pPr>
              <w:pStyle w:val="rvps2"/>
              <w:shd w:val="clear" w:color="auto" w:fill="FFFFFF"/>
              <w:bidi w:val="0"/>
              <w:spacing w:before="0" w:beforeAutospacing="0" w:after="120" w:afterAutospacing="0"/>
              <w:ind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288.5.5. для баз олімпійської, паралімпійської та дефлімпійської підготовки, </w:t>
            </w:r>
            <w:hyperlink r:id="rId4" w:anchor="n18" w:tgtFrame="_blank" w:history="1">
              <w:r w:rsidRPr="00CD3C86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/>
                </w:rPr>
                <w:t>перелік</w:t>
              </w:r>
            </w:hyperlink>
            <w:r w:rsidRPr="00CD3C86">
              <w:rPr>
                <w:rFonts w:ascii="Times New Roman" w:hAnsi="Times New Roman"/>
                <w:sz w:val="28"/>
                <w:szCs w:val="28"/>
                <w:lang w:val="uk-UA"/>
              </w:rPr>
              <w:t> яких затверджується Кабінетом Міністрів України, не може перевищувати 0,1 відсотка нормативної грошової оцінки.</w:t>
            </w:r>
          </w:p>
          <w:p w:rsidR="00CD3C86" w:rsidRPr="00ED5D58" w:rsidP="00CD3C86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ind w:firstLine="450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D5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288.5.6. для земельних ділянок під зоологічні парки усіх форм власності – у розмірі не менше 0,3 відсотка та не більше 1 відсотка їх нормативної грошової оцінки.</w:t>
            </w:r>
          </w:p>
        </w:tc>
      </w:tr>
    </w:tbl>
    <w:p w:rsidR="000939BC" w:rsidP="000939BC">
      <w:pPr>
        <w:bidi w:val="0"/>
        <w:rPr>
          <w:rFonts w:ascii="Times New Roman" w:hAnsi="Times New Roman"/>
          <w:sz w:val="28"/>
          <w:szCs w:val="28"/>
          <w:highlight w:val="yellow"/>
          <w:lang w:val="en-US"/>
        </w:rPr>
      </w:pPr>
    </w:p>
    <w:p w:rsidR="00CD3C86" w:rsidRPr="00CD3C86" w:rsidP="000939BC">
      <w:pPr>
        <w:bidi w:val="0"/>
        <w:rPr>
          <w:rFonts w:ascii="Times New Roman" w:hAnsi="Times New Roman"/>
          <w:sz w:val="28"/>
          <w:szCs w:val="28"/>
          <w:highlight w:val="yellow"/>
          <w:lang w:val="en-US"/>
        </w:rPr>
      </w:pPr>
    </w:p>
    <w:p w:rsidR="000A2A2D" w:rsidRPr="006C1F1B" w:rsidP="000A2A2D">
      <w:pPr>
        <w:bidi w:val="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A2A2D" w:rsidRPr="006C1F1B" w:rsidP="000A2A2D">
      <w:pPr>
        <w:pStyle w:val="2"/>
        <w:keepNext w:val="0"/>
        <w:tabs>
          <w:tab w:val="left" w:pos="6984"/>
        </w:tabs>
        <w:autoSpaceDE/>
        <w:bidi w:val="0"/>
        <w:jc w:val="both"/>
        <w:rPr>
          <w:rFonts w:ascii="Times New Roman" w:hAnsi="Times New Roman"/>
        </w:rPr>
      </w:pPr>
      <w:r w:rsidRPr="006C1F1B">
        <w:rPr>
          <w:rFonts w:ascii="Times New Roman" w:hAnsi="Times New Roman"/>
        </w:rPr>
        <w:t>Народн</w:t>
      </w:r>
      <w:r w:rsidRPr="006C1F1B" w:rsidR="002E094D">
        <w:rPr>
          <w:rFonts w:ascii="Times New Roman" w:hAnsi="Times New Roman"/>
        </w:rPr>
        <w:t xml:space="preserve">ий депутат </w:t>
      </w:r>
      <w:r w:rsidRPr="006C1F1B">
        <w:rPr>
          <w:rFonts w:ascii="Times New Roman" w:hAnsi="Times New Roman"/>
        </w:rPr>
        <w:t xml:space="preserve">України                </w:t>
        <w:tab/>
      </w:r>
      <w:r w:rsidRPr="006C1F1B" w:rsidR="002E094D">
        <w:rPr>
          <w:rFonts w:ascii="Times New Roman" w:hAnsi="Times New Roman"/>
        </w:rPr>
        <w:t xml:space="preserve">                   </w:t>
      </w:r>
      <w:r w:rsidRPr="006C1F1B" w:rsidR="00B157FB">
        <w:rPr>
          <w:rFonts w:ascii="Times New Roman" w:hAnsi="Times New Roman"/>
        </w:rPr>
        <w:tab/>
        <w:tab/>
        <w:tab/>
        <w:tab/>
        <w:tab/>
        <w:tab/>
        <w:tab/>
        <w:tab/>
      </w:r>
      <w:r w:rsidRPr="006C1F1B">
        <w:rPr>
          <w:rFonts w:ascii="Times New Roman" w:hAnsi="Times New Roman"/>
        </w:rPr>
        <w:t>С.В. Соболєв</w:t>
      </w:r>
    </w:p>
    <w:p w:rsidR="007054C1" w:rsidRPr="006C1F1B" w:rsidP="000A2A2D">
      <w:pPr>
        <w:bidi w:val="0"/>
        <w:ind w:left="7020"/>
        <w:rPr>
          <w:rFonts w:ascii="Times New Roman" w:hAnsi="Times New Roman"/>
          <w:b/>
          <w:sz w:val="28"/>
          <w:szCs w:val="28"/>
        </w:rPr>
      </w:pPr>
    </w:p>
    <w:sectPr w:rsidSect="003C7D56">
      <w:headerReference w:type="even" r:id="rId5"/>
      <w:headerReference w:type="default" r:id="rId6"/>
      <w:pgSz w:w="16838" w:h="11906" w:orient="landscape"/>
      <w:pgMar w:top="851" w:right="1134" w:bottom="902" w:left="539" w:header="709" w:footer="709" w:gutter="0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56" w:rsidP="00E068AD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3C7D56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56" w:rsidP="00E068AD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ED5D58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3C7D56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939BC"/>
    <w:rsid w:val="000939BC"/>
    <w:rsid w:val="000A2A2D"/>
    <w:rsid w:val="00106EED"/>
    <w:rsid w:val="00193098"/>
    <w:rsid w:val="002C4742"/>
    <w:rsid w:val="002C7E76"/>
    <w:rsid w:val="002E094D"/>
    <w:rsid w:val="00361159"/>
    <w:rsid w:val="003C7D56"/>
    <w:rsid w:val="003E2F19"/>
    <w:rsid w:val="00402A8C"/>
    <w:rsid w:val="00525F93"/>
    <w:rsid w:val="005D1D4B"/>
    <w:rsid w:val="005D5499"/>
    <w:rsid w:val="0062327B"/>
    <w:rsid w:val="006C1F1B"/>
    <w:rsid w:val="007054C1"/>
    <w:rsid w:val="00714954"/>
    <w:rsid w:val="00760A42"/>
    <w:rsid w:val="0087505D"/>
    <w:rsid w:val="00915096"/>
    <w:rsid w:val="009941A2"/>
    <w:rsid w:val="009971C5"/>
    <w:rsid w:val="009E7CCA"/>
    <w:rsid w:val="00A024A3"/>
    <w:rsid w:val="00AA4170"/>
    <w:rsid w:val="00AD6873"/>
    <w:rsid w:val="00B157FB"/>
    <w:rsid w:val="00BB4A21"/>
    <w:rsid w:val="00CD3C86"/>
    <w:rsid w:val="00D135B5"/>
    <w:rsid w:val="00D535EC"/>
    <w:rsid w:val="00DF2827"/>
    <w:rsid w:val="00E068AD"/>
    <w:rsid w:val="00ED5D58"/>
    <w:rsid w:val="00F35B21"/>
    <w:rsid w:val="00F7521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0939BC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paragraph" w:styleId="Heading2">
    <w:name w:val="heading 2"/>
    <w:basedOn w:val="Normal"/>
    <w:link w:val="20"/>
    <w:uiPriority w:val="99"/>
    <w:rsid w:val="00B157FB"/>
    <w:pPr>
      <w:spacing w:before="100" w:beforeAutospacing="1" w:after="100" w:afterAutospacing="1"/>
      <w:jc w:val="left"/>
      <w:outlineLvl w:val="1"/>
    </w:pPr>
    <w:rPr>
      <w:rFonts w:ascii="Calibri" w:hAnsi="Calibri" w:cs="Calibri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2C7E76"/>
    <w:pPr>
      <w:spacing w:before="100" w:beforeAutospacing="1" w:after="100" w:afterAutospacing="1"/>
      <w:jc w:val="left"/>
    </w:pPr>
    <w:rPr>
      <w:lang w:val="ru-RU" w:eastAsia="ru-RU"/>
    </w:rPr>
  </w:style>
  <w:style w:type="character" w:customStyle="1" w:styleId="rvts9">
    <w:name w:val="rvts9"/>
    <w:basedOn w:val="DefaultParagraphFont"/>
    <w:uiPriority w:val="99"/>
    <w:rsid w:val="002C7E76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rsid w:val="002C7E76"/>
    <w:rPr>
      <w:rFonts w:cs="Times New Roman"/>
      <w:color w:val="0000FF"/>
      <w:u w:val="single"/>
      <w:rtl w:val="0"/>
      <w:cs w:val="0"/>
    </w:rPr>
  </w:style>
  <w:style w:type="character" w:customStyle="1" w:styleId="rvts46">
    <w:name w:val="rvts46"/>
    <w:basedOn w:val="DefaultParagraphFont"/>
    <w:uiPriority w:val="99"/>
    <w:rsid w:val="00DF2827"/>
    <w:rPr>
      <w:rFonts w:cs="Times New Roman"/>
      <w:rtl w:val="0"/>
      <w:cs w:val="0"/>
    </w:rPr>
  </w:style>
  <w:style w:type="character" w:customStyle="1" w:styleId="rvts15">
    <w:name w:val="rvts15"/>
    <w:basedOn w:val="DefaultParagraphFont"/>
    <w:uiPriority w:val="99"/>
    <w:rsid w:val="0062327B"/>
    <w:rPr>
      <w:rFonts w:cs="Times New Roman"/>
      <w:rtl w:val="0"/>
      <w:cs w:val="0"/>
    </w:rPr>
  </w:style>
  <w:style w:type="paragraph" w:styleId="BalloonText">
    <w:name w:val="Balloon Text"/>
    <w:basedOn w:val="Normal"/>
    <w:uiPriority w:val="99"/>
    <w:semiHidden/>
    <w:rsid w:val="00361159"/>
    <w:pPr>
      <w:jc w:val="left"/>
    </w:pPr>
    <w:rPr>
      <w:rFonts w:ascii="Tahoma" w:hAnsi="Tahoma" w:cs="Tahoma"/>
      <w:sz w:val="16"/>
      <w:szCs w:val="16"/>
    </w:rPr>
  </w:style>
  <w:style w:type="paragraph" w:customStyle="1" w:styleId="2">
    <w:name w:val="заголовок 2"/>
    <w:basedOn w:val="Normal"/>
    <w:next w:val="Normal"/>
    <w:uiPriority w:val="99"/>
    <w:rsid w:val="000A2A2D"/>
    <w:pPr>
      <w:keepNext/>
      <w:autoSpaceDE w:val="0"/>
      <w:autoSpaceDN w:val="0"/>
      <w:jc w:val="lef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DefaultParagraphFont"/>
    <w:link w:val="Heading2"/>
    <w:uiPriority w:val="99"/>
    <w:locked/>
    <w:rsid w:val="00B157FB"/>
    <w:rPr>
      <w:rFonts w:ascii="Calibri" w:hAnsi="Calibri" w:cs="Calibri"/>
      <w:b/>
      <w:bCs/>
      <w:sz w:val="36"/>
      <w:szCs w:val="36"/>
      <w:rtl w:val="0"/>
      <w:cs w:val="0"/>
      <w:lang w:val="ru-RU" w:eastAsia="ru-RU" w:bidi="ar-SA"/>
    </w:rPr>
  </w:style>
  <w:style w:type="character" w:customStyle="1" w:styleId="apple-converted-space">
    <w:name w:val="apple-converted-space"/>
    <w:uiPriority w:val="99"/>
    <w:rsid w:val="00B157FB"/>
  </w:style>
  <w:style w:type="paragraph" w:styleId="Footer">
    <w:name w:val="footer"/>
    <w:basedOn w:val="Normal"/>
    <w:uiPriority w:val="99"/>
    <w:rsid w:val="003C7D56"/>
    <w:pPr>
      <w:tabs>
        <w:tab w:val="center" w:pos="4819"/>
        <w:tab w:val="right" w:pos="9639"/>
      </w:tabs>
      <w:jc w:val="left"/>
    </w:pPr>
  </w:style>
  <w:style w:type="character" w:styleId="PageNumber">
    <w:name w:val="page number"/>
    <w:basedOn w:val="DefaultParagraphFont"/>
    <w:uiPriority w:val="99"/>
    <w:rsid w:val="003C7D56"/>
    <w:rPr>
      <w:rFonts w:cs="Times New Roman"/>
      <w:rtl w:val="0"/>
      <w:cs w:val="0"/>
    </w:rPr>
  </w:style>
  <w:style w:type="paragraph" w:styleId="Header">
    <w:name w:val="header"/>
    <w:basedOn w:val="Normal"/>
    <w:uiPriority w:val="99"/>
    <w:rsid w:val="003C7D56"/>
    <w:pPr>
      <w:tabs>
        <w:tab w:val="center" w:pos="4819"/>
        <w:tab w:val="right" w:pos="9639"/>
      </w:tabs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rada/show/871-2018-%D0%BF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Pages>2</Pages>
  <Words>2245</Words>
  <Characters>1281</Characters>
  <Application>Microsoft Office Word</Application>
  <DocSecurity>0</DocSecurity>
  <Lines>0</Lines>
  <Paragraphs>0</Paragraphs>
  <ScaleCrop>false</ScaleCrop>
  <Company>Microsoft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 до проекту Закону України</dc:title>
  <dc:creator>П.С.А.</dc:creator>
  <cp:lastModifiedBy>Deputat</cp:lastModifiedBy>
  <cp:revision>12</cp:revision>
  <cp:lastPrinted>2016-09-08T09:40:00Z</cp:lastPrinted>
  <dcterms:created xsi:type="dcterms:W3CDTF">2016-08-31T14:06:00Z</dcterms:created>
  <dcterms:modified xsi:type="dcterms:W3CDTF">2019-08-08T13:07:00Z</dcterms:modified>
</cp:coreProperties>
</file>