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A425F" w:rsidRPr="00920FD8" w:rsidP="00FA425F">
      <w:pPr>
        <w:bidi w:val="0"/>
        <w:spacing w:before="60" w:after="60"/>
        <w:jc w:val="center"/>
        <w:rPr>
          <w:rFonts w:ascii="Times New Roman" w:hAnsi="Times New Roman"/>
          <w:b/>
          <w:sz w:val="28"/>
          <w:szCs w:val="28"/>
        </w:rPr>
      </w:pPr>
      <w:r w:rsidRPr="00920FD8">
        <w:rPr>
          <w:rFonts w:ascii="Times New Roman" w:hAnsi="Times New Roman"/>
          <w:b/>
          <w:sz w:val="28"/>
          <w:szCs w:val="28"/>
        </w:rPr>
        <w:t>ПОЯСНЮВАЛЬНА ЗАПИСКА</w:t>
      </w:r>
    </w:p>
    <w:p w:rsidR="00FA425F" w:rsidRPr="00920FD8" w:rsidP="00FA425F">
      <w:pPr>
        <w:pStyle w:val="Heading1"/>
        <w:bidi w:val="0"/>
        <w:jc w:val="center"/>
        <w:rPr>
          <w:rFonts w:ascii="Times New Roman" w:hAnsi="Times New Roman"/>
          <w:bCs w:val="0"/>
          <w:sz w:val="28"/>
          <w:szCs w:val="28"/>
        </w:rPr>
      </w:pPr>
      <w:r w:rsidRPr="00920FD8">
        <w:rPr>
          <w:rFonts w:ascii="Times New Roman" w:hAnsi="Times New Roman"/>
          <w:bCs w:val="0"/>
          <w:sz w:val="28"/>
          <w:szCs w:val="28"/>
        </w:rPr>
        <w:t>до проекту Закону України «</w:t>
      </w:r>
      <w:r w:rsidRPr="00920FD8">
        <w:rPr>
          <w:rFonts w:ascii="Times New Roman" w:hAnsi="Times New Roman"/>
          <w:sz w:val="28"/>
          <w:szCs w:val="28"/>
        </w:rPr>
        <w:t xml:space="preserve">Про внесення змін до </w:t>
      </w:r>
      <w:r w:rsidRPr="00920FD8">
        <w:rPr>
          <w:rFonts w:ascii="Times New Roman" w:hAnsi="Times New Roman"/>
          <w:bCs w:val="0"/>
          <w:sz w:val="28"/>
          <w:szCs w:val="28"/>
        </w:rPr>
        <w:t>К</w:t>
      </w:r>
      <w:r w:rsidRPr="00920FD8">
        <w:rPr>
          <w:rFonts w:ascii="Times New Roman" w:hAnsi="Times New Roman"/>
          <w:sz w:val="28"/>
          <w:szCs w:val="28"/>
        </w:rPr>
        <w:t>одексу України з процедур банкрутства»</w:t>
      </w:r>
    </w:p>
    <w:p w:rsidR="00FA425F" w:rsidP="00FA425F">
      <w:pPr>
        <w:pStyle w:val="NormalWeb"/>
        <w:bidi w:val="0"/>
        <w:spacing w:before="0" w:beforeAutospacing="0" w:after="120" w:afterAutospacing="0"/>
        <w:jc w:val="center"/>
        <w:rPr>
          <w:rFonts w:ascii="Times New Roman" w:hAnsi="Times New Roman"/>
          <w:b/>
          <w:bCs/>
          <w:sz w:val="28"/>
          <w:szCs w:val="28"/>
          <w:lang w:val="uk-UA"/>
        </w:rPr>
      </w:pPr>
    </w:p>
    <w:p w:rsidR="00F75EDA" w:rsidRPr="00920FD8" w:rsidP="00FA425F">
      <w:pPr>
        <w:pStyle w:val="NormalWeb"/>
        <w:bidi w:val="0"/>
        <w:spacing w:before="0" w:beforeAutospacing="0" w:after="120" w:afterAutospacing="0"/>
        <w:jc w:val="center"/>
        <w:rPr>
          <w:rFonts w:ascii="Times New Roman" w:hAnsi="Times New Roman"/>
          <w:b/>
          <w:bCs/>
          <w:sz w:val="28"/>
          <w:szCs w:val="28"/>
          <w:lang w:val="uk-UA"/>
        </w:rPr>
      </w:pPr>
    </w:p>
    <w:p w:rsidR="00FA425F" w:rsidRPr="00920FD8" w:rsidP="00FA425F">
      <w:pPr>
        <w:numPr>
          <w:numId w:val="1"/>
        </w:numPr>
        <w:bidi w:val="0"/>
        <w:spacing w:after="120"/>
        <w:rPr>
          <w:rFonts w:ascii="Times New Roman" w:hAnsi="Times New Roman"/>
          <w:b/>
          <w:sz w:val="28"/>
          <w:szCs w:val="28"/>
        </w:rPr>
      </w:pPr>
      <w:r w:rsidRPr="00920FD8">
        <w:rPr>
          <w:rFonts w:ascii="Times New Roman" w:hAnsi="Times New Roman"/>
          <w:b/>
          <w:sz w:val="28"/>
          <w:szCs w:val="28"/>
        </w:rPr>
        <w:t>Обґрунтування необхідності прийняття законопроекту</w:t>
      </w:r>
    </w:p>
    <w:p w:rsidR="003332E2" w:rsidRPr="00920FD8" w:rsidP="003332E2">
      <w:pPr>
        <w:bidi w:val="0"/>
        <w:ind w:firstLine="709"/>
        <w:jc w:val="both"/>
        <w:rPr>
          <w:rFonts w:ascii="Times New Roman" w:hAnsi="Times New Roman"/>
          <w:color w:val="000000"/>
          <w:sz w:val="28"/>
          <w:szCs w:val="28"/>
          <w:bdr w:val="nil"/>
          <w:shd w:val="clear" w:color="auto" w:fill="FFFFFF"/>
        </w:rPr>
      </w:pPr>
      <w:r w:rsidRPr="00920FD8" w:rsidR="00FA425F">
        <w:rPr>
          <w:rFonts w:ascii="Times New Roman" w:hAnsi="Times New Roman"/>
          <w:bCs/>
          <w:sz w:val="28"/>
          <w:szCs w:val="28"/>
        </w:rPr>
        <w:t>Положення К</w:t>
      </w:r>
      <w:r w:rsidRPr="00920FD8" w:rsidR="00FA425F">
        <w:rPr>
          <w:rFonts w:ascii="Times New Roman" w:hAnsi="Times New Roman"/>
          <w:sz w:val="28"/>
          <w:szCs w:val="28"/>
        </w:rPr>
        <w:t xml:space="preserve">одексу України з процедур банкрутства, що був прийнятий </w:t>
      </w:r>
      <w:r w:rsidRPr="00920FD8" w:rsidR="00FA425F">
        <w:rPr>
          <w:rStyle w:val="rvts44"/>
          <w:bCs/>
          <w:sz w:val="28"/>
          <w:szCs w:val="28"/>
          <w:shd w:val="clear" w:color="auto" w:fill="FFFFFF"/>
        </w:rPr>
        <w:t>18 жовтня 2018 року</w:t>
      </w:r>
      <w:r w:rsidRPr="00920FD8" w:rsidR="00FA425F">
        <w:rPr>
          <w:rFonts w:ascii="Times New Roman" w:hAnsi="Times New Roman"/>
          <w:sz w:val="28"/>
          <w:szCs w:val="28"/>
          <w:shd w:val="clear" w:color="auto" w:fill="FFFFFF"/>
        </w:rPr>
        <w:t xml:space="preserve"> </w:t>
      </w:r>
      <w:r w:rsidRPr="00920FD8" w:rsidR="00FA425F">
        <w:rPr>
          <w:rStyle w:val="rvts44"/>
          <w:bCs/>
          <w:sz w:val="28"/>
          <w:szCs w:val="28"/>
          <w:shd w:val="clear" w:color="auto" w:fill="FFFFFF"/>
        </w:rPr>
        <w:t>№ 2597-VII</w:t>
      </w:r>
      <w:r w:rsidRPr="00920FD8">
        <w:rPr>
          <w:rStyle w:val="rvts44"/>
          <w:bCs/>
          <w:sz w:val="28"/>
          <w:szCs w:val="28"/>
          <w:shd w:val="clear" w:color="auto" w:fill="FFFFFF"/>
        </w:rPr>
        <w:t>I та набув чинності 21.04.2019 року</w:t>
      </w:r>
      <w:r w:rsidR="004065FB">
        <w:rPr>
          <w:rStyle w:val="rvts44"/>
          <w:bCs/>
          <w:sz w:val="28"/>
          <w:szCs w:val="28"/>
          <w:shd w:val="clear" w:color="auto" w:fill="FFFFFF"/>
        </w:rPr>
        <w:t>, вводяться в дію 21.10.2019 року.</w:t>
      </w:r>
    </w:p>
    <w:p w:rsidR="00594C02" w:rsidP="003332E2">
      <w:pPr>
        <w:bidi w:val="0"/>
        <w:ind w:firstLine="709"/>
        <w:jc w:val="both"/>
        <w:rPr>
          <w:rStyle w:val="rvts44"/>
          <w:bCs/>
          <w:sz w:val="28"/>
          <w:szCs w:val="28"/>
          <w:shd w:val="clear" w:color="auto" w:fill="FFFFFF"/>
        </w:rPr>
      </w:pPr>
      <w:r>
        <w:rPr>
          <w:rStyle w:val="rvts44"/>
          <w:bCs/>
          <w:sz w:val="28"/>
          <w:szCs w:val="28"/>
          <w:shd w:val="clear" w:color="auto" w:fill="FFFFFF"/>
        </w:rPr>
        <w:t>Вступ</w:t>
      </w:r>
      <w:r w:rsidRPr="00920FD8" w:rsidR="003332E2">
        <w:rPr>
          <w:rStyle w:val="rvts44"/>
          <w:bCs/>
          <w:sz w:val="28"/>
          <w:szCs w:val="28"/>
          <w:shd w:val="clear" w:color="auto" w:fill="FFFFFF"/>
        </w:rPr>
        <w:t xml:space="preserve"> в дію Кодексу України з процедур банкрутства 21 жовтня 2019 року </w:t>
      </w:r>
      <w:r>
        <w:rPr>
          <w:rStyle w:val="rvts44"/>
          <w:bCs/>
          <w:sz w:val="28"/>
          <w:szCs w:val="28"/>
          <w:shd w:val="clear" w:color="auto" w:fill="FFFFFF"/>
        </w:rPr>
        <w:t>в чинній редакції несе наступні ризики:</w:t>
      </w:r>
    </w:p>
    <w:p w:rsidR="003332E2" w:rsidRPr="00920FD8" w:rsidP="003332E2">
      <w:pPr>
        <w:bidi w:val="0"/>
        <w:ind w:firstLine="709"/>
        <w:jc w:val="both"/>
        <w:rPr>
          <w:rStyle w:val="rvts44"/>
          <w:bCs/>
          <w:sz w:val="28"/>
          <w:szCs w:val="28"/>
          <w:shd w:val="clear" w:color="auto" w:fill="FFFFFF"/>
        </w:rPr>
      </w:pPr>
    </w:p>
    <w:p w:rsidR="002419CF" w:rsidP="00974DB7">
      <w:pPr>
        <w:bidi w:val="0"/>
        <w:ind w:firstLine="708"/>
        <w:jc w:val="both"/>
        <w:rPr>
          <w:rFonts w:ascii="Times New Roman" w:hAnsi="Times New Roman"/>
          <w:sz w:val="28"/>
          <w:szCs w:val="28"/>
        </w:rPr>
      </w:pPr>
      <w:r w:rsidR="00974DB7">
        <w:rPr>
          <w:rStyle w:val="rvts44"/>
          <w:bCs/>
          <w:sz w:val="28"/>
          <w:szCs w:val="28"/>
          <w:shd w:val="clear" w:color="auto" w:fill="FFFFFF"/>
        </w:rPr>
        <w:t xml:space="preserve">1. </w:t>
      </w:r>
      <w:r w:rsidRPr="00974DB7" w:rsidR="0078523B">
        <w:rPr>
          <w:rStyle w:val="rvts44"/>
          <w:bCs/>
          <w:sz w:val="28"/>
          <w:szCs w:val="28"/>
          <w:shd w:val="clear" w:color="auto" w:fill="FFFFFF"/>
        </w:rPr>
        <w:t xml:space="preserve">Згідно ч. 4 ст. 2 </w:t>
      </w:r>
      <w:r w:rsidRPr="00974DB7" w:rsidR="0078523B">
        <w:rPr>
          <w:rFonts w:ascii="Times New Roman" w:hAnsi="Times New Roman"/>
          <w:bCs/>
          <w:sz w:val="28"/>
          <w:szCs w:val="28"/>
        </w:rPr>
        <w:t>К</w:t>
      </w:r>
      <w:r w:rsidRPr="00974DB7" w:rsidR="0078523B">
        <w:rPr>
          <w:rFonts w:ascii="Times New Roman" w:hAnsi="Times New Roman"/>
          <w:sz w:val="28"/>
          <w:szCs w:val="28"/>
        </w:rPr>
        <w:t xml:space="preserve">одексу України з процедур банкрутства положення цього Кодексу не застосовуються лише до юридичних осіб – казенних підприємств. Аналіз норм Кодексу, зокрема визначення поняття «боржник», що міститься в ст. 1 Кодексу, та книги третьої «Банкрутство юридичних осіб», дають підстави дійти висновку щодо можливості подання кредиторами, які мають грошові </w:t>
      </w:r>
      <w:r w:rsidRPr="00974DB7" w:rsidR="002369B4">
        <w:rPr>
          <w:rFonts w:ascii="Times New Roman" w:hAnsi="Times New Roman"/>
          <w:sz w:val="28"/>
          <w:szCs w:val="28"/>
        </w:rPr>
        <w:t xml:space="preserve">вимоги до боржника, строк виконання яких настав, заяв про відкриття провадження у справі про банкрутство органів державної влади, органів місцевого самоврядування, бюджетних установ та організацій. </w:t>
      </w:r>
    </w:p>
    <w:p w:rsidR="0078523B" w:rsidRPr="00974DB7" w:rsidP="00974DB7">
      <w:pPr>
        <w:bidi w:val="0"/>
        <w:ind w:firstLine="708"/>
        <w:jc w:val="both"/>
        <w:rPr>
          <w:rFonts w:ascii="Times New Roman" w:hAnsi="Times New Roman"/>
          <w:sz w:val="28"/>
          <w:szCs w:val="28"/>
        </w:rPr>
      </w:pPr>
      <w:r w:rsidRPr="00974DB7" w:rsidR="002369B4">
        <w:rPr>
          <w:rFonts w:ascii="Times New Roman" w:hAnsi="Times New Roman"/>
          <w:sz w:val="28"/>
          <w:szCs w:val="28"/>
        </w:rPr>
        <w:t>Подання кредиторами</w:t>
      </w:r>
      <w:r w:rsidRPr="00974DB7" w:rsidR="002A6E22">
        <w:rPr>
          <w:rFonts w:ascii="Times New Roman" w:hAnsi="Times New Roman"/>
          <w:sz w:val="28"/>
          <w:szCs w:val="28"/>
        </w:rPr>
        <w:t xml:space="preserve"> таких заяв до судів та відкриття провадження у справах про банкрутство органів державної влади, зокрема вій</w:t>
      </w:r>
      <w:r w:rsidRPr="00974DB7" w:rsidR="00974DB7">
        <w:rPr>
          <w:rFonts w:ascii="Times New Roman" w:hAnsi="Times New Roman"/>
          <w:sz w:val="28"/>
          <w:szCs w:val="28"/>
        </w:rPr>
        <w:t>ськових, правоохоронних, місцевих</w:t>
      </w:r>
      <w:r w:rsidRPr="00974DB7" w:rsidR="002A6E22">
        <w:rPr>
          <w:rFonts w:ascii="Times New Roman" w:hAnsi="Times New Roman"/>
          <w:sz w:val="28"/>
          <w:szCs w:val="28"/>
        </w:rPr>
        <w:t xml:space="preserve"> рад, органів соціального забезпечення тощо </w:t>
      </w:r>
      <w:r w:rsidRPr="00974DB7" w:rsidR="00974DB7">
        <w:rPr>
          <w:rFonts w:ascii="Times New Roman" w:hAnsi="Times New Roman"/>
          <w:sz w:val="28"/>
          <w:szCs w:val="28"/>
        </w:rPr>
        <w:t xml:space="preserve">руйнуватиме встановлені Конституцією України засади функціонування механізму держави, порушуватиме принцип поділу державної влади та гарантоване в Україні </w:t>
      </w:r>
      <w:r w:rsidR="002419CF">
        <w:rPr>
          <w:rFonts w:ascii="Times New Roman" w:hAnsi="Times New Roman"/>
          <w:sz w:val="28"/>
          <w:szCs w:val="28"/>
        </w:rPr>
        <w:t xml:space="preserve">місцеве самоврядування, </w:t>
      </w:r>
      <w:r w:rsidRPr="00974DB7" w:rsidR="002A6E22">
        <w:rPr>
          <w:rFonts w:ascii="Times New Roman" w:hAnsi="Times New Roman"/>
          <w:sz w:val="28"/>
          <w:szCs w:val="28"/>
        </w:rPr>
        <w:t>спричинить серйозну дезорганізацію роботи відповідних органів та установ, соціальну напругу та широкий суспільний резонанс.</w:t>
      </w:r>
    </w:p>
    <w:p w:rsidR="006F27E3" w:rsidP="002A6E22">
      <w:pPr>
        <w:bidi w:val="0"/>
        <w:ind w:firstLine="708"/>
        <w:jc w:val="both"/>
        <w:rPr>
          <w:rFonts w:ascii="Times New Roman" w:hAnsi="Times New Roman"/>
          <w:sz w:val="28"/>
          <w:szCs w:val="28"/>
        </w:rPr>
      </w:pPr>
      <w:r w:rsidR="00B5253A">
        <w:rPr>
          <w:rStyle w:val="rvts44"/>
          <w:bCs/>
          <w:sz w:val="28"/>
          <w:szCs w:val="28"/>
          <w:shd w:val="clear" w:color="auto" w:fill="FFFFFF"/>
        </w:rPr>
        <w:t xml:space="preserve">2. Чинна редакція Кодексу </w:t>
      </w:r>
      <w:r w:rsidRPr="0078523B" w:rsidR="00B5253A">
        <w:rPr>
          <w:rFonts w:ascii="Times New Roman" w:hAnsi="Times New Roman"/>
          <w:sz w:val="28"/>
          <w:szCs w:val="28"/>
        </w:rPr>
        <w:t>України з процедур банкрутства</w:t>
      </w:r>
      <w:r w:rsidR="00B5253A">
        <w:rPr>
          <w:rFonts w:ascii="Times New Roman" w:hAnsi="Times New Roman"/>
          <w:sz w:val="28"/>
          <w:szCs w:val="28"/>
        </w:rPr>
        <w:t xml:space="preserve"> містить лише одне обмеження для відкриття провадження у справі про банкрутство у вигляді наявності спору про право, який підлягає вирішенню в порядку позовного провадження. В той же час визначення поняття «спір про право», «безс</w:t>
      </w:r>
      <w:r w:rsidR="00016940">
        <w:rPr>
          <w:rFonts w:ascii="Times New Roman" w:hAnsi="Times New Roman"/>
          <w:sz w:val="28"/>
          <w:szCs w:val="28"/>
        </w:rPr>
        <w:t>пірний борг» Кодекс не містить, що призведе до різної судової практики порушення провадження у справах про банкрутство, оскарження рішень місцевих судів в апеляційному та касаційному порядку та відповідного затягування розгляду справ про банкрутство та задоволення вимог кредиторів.</w:t>
      </w:r>
    </w:p>
    <w:p w:rsidR="00695CC2" w:rsidP="00016940">
      <w:pPr>
        <w:bidi w:val="0"/>
        <w:ind w:firstLine="708"/>
        <w:jc w:val="both"/>
        <w:rPr>
          <w:rFonts w:ascii="Times New Roman" w:hAnsi="Times New Roman"/>
          <w:sz w:val="28"/>
          <w:szCs w:val="28"/>
        </w:rPr>
      </w:pPr>
      <w:r w:rsidR="00016940">
        <w:rPr>
          <w:rFonts w:ascii="Times New Roman" w:hAnsi="Times New Roman"/>
          <w:sz w:val="28"/>
          <w:szCs w:val="28"/>
        </w:rPr>
        <w:t xml:space="preserve">3. Норма ст. 28 </w:t>
      </w:r>
      <w:r w:rsidR="00016940">
        <w:rPr>
          <w:rStyle w:val="rvts44"/>
          <w:bCs/>
          <w:sz w:val="28"/>
          <w:szCs w:val="28"/>
          <w:shd w:val="clear" w:color="auto" w:fill="FFFFFF"/>
        </w:rPr>
        <w:t xml:space="preserve">Кодексу </w:t>
      </w:r>
      <w:r w:rsidRPr="0078523B" w:rsidR="00016940">
        <w:rPr>
          <w:rFonts w:ascii="Times New Roman" w:hAnsi="Times New Roman"/>
          <w:sz w:val="28"/>
          <w:szCs w:val="28"/>
        </w:rPr>
        <w:t>України з процедур банкрутства</w:t>
      </w:r>
      <w:r w:rsidR="00016940">
        <w:rPr>
          <w:rFonts w:ascii="Times New Roman" w:hAnsi="Times New Roman"/>
          <w:sz w:val="28"/>
          <w:szCs w:val="28"/>
        </w:rPr>
        <w:t xml:space="preserve"> передбачає призначення судом кандидатури арбітражного керуючого для виконання повноважень розпорядника майна або керуючого реструктуризацією із застосуванням Єдиної судової інформаційно-телекомунікаційної системи. Так само норми Кодексу передбачають </w:t>
      </w:r>
      <w:r w:rsidRPr="00695CC2" w:rsidR="00016940">
        <w:rPr>
          <w:rFonts w:ascii="Times New Roman" w:hAnsi="Times New Roman"/>
          <w:sz w:val="28"/>
          <w:szCs w:val="28"/>
        </w:rPr>
        <w:t xml:space="preserve">випадки </w:t>
      </w:r>
      <w:r>
        <w:rPr>
          <w:rFonts w:ascii="Times New Roman" w:hAnsi="Times New Roman"/>
          <w:sz w:val="28"/>
          <w:szCs w:val="28"/>
        </w:rPr>
        <w:t>офіційного</w:t>
      </w:r>
      <w:r w:rsidRPr="00695CC2">
        <w:rPr>
          <w:rFonts w:ascii="Times New Roman" w:hAnsi="Times New Roman"/>
          <w:sz w:val="28"/>
          <w:szCs w:val="28"/>
        </w:rPr>
        <w:t xml:space="preserve"> оприлюднення відомо</w:t>
      </w:r>
      <w:r>
        <w:rPr>
          <w:rFonts w:ascii="Times New Roman" w:hAnsi="Times New Roman"/>
          <w:sz w:val="28"/>
          <w:szCs w:val="28"/>
        </w:rPr>
        <w:t>стей про справу про банкрутство, зокрема для подання кредиторами грошових вимог для боржника, за допомогою цієї ж Єдиної судової інформаційно-телекомунікаційної системи.</w:t>
      </w:r>
    </w:p>
    <w:p w:rsidR="00695CC2" w:rsidP="00016940">
      <w:pPr>
        <w:bidi w:val="0"/>
        <w:ind w:firstLine="708"/>
        <w:jc w:val="both"/>
        <w:rPr>
          <w:rFonts w:ascii="Times New Roman" w:hAnsi="Times New Roman"/>
          <w:sz w:val="28"/>
          <w:szCs w:val="28"/>
        </w:rPr>
      </w:pPr>
      <w:r w:rsidRPr="00695CC2" w:rsidR="00016940">
        <w:rPr>
          <w:rFonts w:ascii="Times New Roman" w:hAnsi="Times New Roman"/>
          <w:sz w:val="28"/>
          <w:szCs w:val="28"/>
        </w:rPr>
        <w:t xml:space="preserve">Станом на сьогоднішній день </w:t>
      </w:r>
      <w:r>
        <w:rPr>
          <w:rFonts w:ascii="Times New Roman" w:hAnsi="Times New Roman"/>
          <w:sz w:val="28"/>
          <w:szCs w:val="28"/>
        </w:rPr>
        <w:t>Єдина судова інформаційно-телекомунікаційна система</w:t>
      </w:r>
      <w:r w:rsidRPr="00695CC2" w:rsidR="00016940">
        <w:rPr>
          <w:rFonts w:ascii="Times New Roman" w:hAnsi="Times New Roman"/>
          <w:sz w:val="28"/>
          <w:szCs w:val="28"/>
        </w:rPr>
        <w:t xml:space="preserve"> не</w:t>
      </w:r>
      <w:r w:rsidR="00016940">
        <w:rPr>
          <w:rFonts w:ascii="Times New Roman" w:hAnsi="Times New Roman"/>
          <w:sz w:val="28"/>
          <w:szCs w:val="28"/>
        </w:rPr>
        <w:t xml:space="preserve"> функціонує і час її впровадження ДСА України не повідомлено.</w:t>
      </w:r>
      <w:r>
        <w:rPr>
          <w:rFonts w:ascii="Times New Roman" w:hAnsi="Times New Roman"/>
          <w:sz w:val="28"/>
          <w:szCs w:val="28"/>
        </w:rPr>
        <w:t xml:space="preserve"> Вказане призведе до неможливості призначення господарськими судами у справах про банкрутство розпорядників майна або керуючих реструктуризацією, що фактично означає </w:t>
      </w:r>
      <w:r w:rsidR="00386F7F">
        <w:rPr>
          <w:rFonts w:ascii="Times New Roman" w:hAnsi="Times New Roman"/>
          <w:sz w:val="28"/>
          <w:szCs w:val="28"/>
        </w:rPr>
        <w:t>зупинення розгляду справ про банкрутство.</w:t>
      </w:r>
    </w:p>
    <w:p w:rsidR="00FA425F" w:rsidP="00FA425F">
      <w:pPr>
        <w:bidi w:val="0"/>
        <w:ind w:firstLine="709"/>
        <w:jc w:val="both"/>
        <w:rPr>
          <w:rFonts w:ascii="Times New Roman" w:hAnsi="Times New Roman"/>
          <w:iCs/>
          <w:sz w:val="28"/>
          <w:szCs w:val="28"/>
        </w:rPr>
      </w:pPr>
    </w:p>
    <w:p w:rsidR="00F75EDA" w:rsidRPr="00920FD8" w:rsidP="00FA425F">
      <w:pPr>
        <w:bidi w:val="0"/>
        <w:ind w:firstLine="709"/>
        <w:jc w:val="both"/>
        <w:rPr>
          <w:rFonts w:ascii="Times New Roman" w:hAnsi="Times New Roman"/>
          <w:iCs/>
          <w:sz w:val="28"/>
          <w:szCs w:val="28"/>
        </w:rPr>
      </w:pPr>
    </w:p>
    <w:p w:rsidR="00FA425F" w:rsidRPr="00386F7F" w:rsidP="00386F7F">
      <w:pPr>
        <w:pStyle w:val="ListParagraph"/>
        <w:numPr>
          <w:numId w:val="1"/>
        </w:numPr>
        <w:tabs>
          <w:tab w:val="left" w:pos="993"/>
        </w:tabs>
        <w:bidi w:val="0"/>
        <w:spacing w:after="120"/>
        <w:rPr>
          <w:rFonts w:ascii="Times New Roman" w:hAnsi="Times New Roman"/>
          <w:b/>
          <w:sz w:val="28"/>
          <w:szCs w:val="28"/>
        </w:rPr>
      </w:pPr>
      <w:r w:rsidRPr="00386F7F">
        <w:rPr>
          <w:rFonts w:ascii="Times New Roman" w:hAnsi="Times New Roman"/>
          <w:b/>
          <w:sz w:val="28"/>
          <w:szCs w:val="28"/>
        </w:rPr>
        <w:t>Мета і завдання законопроекту</w:t>
      </w:r>
    </w:p>
    <w:p w:rsidR="00386F7F" w:rsidP="00386F7F">
      <w:pPr>
        <w:pStyle w:val="ListParagraph"/>
        <w:bidi w:val="0"/>
        <w:ind w:left="0" w:firstLine="567"/>
        <w:jc w:val="both"/>
        <w:rPr>
          <w:rFonts w:ascii="Times New Roman" w:hAnsi="Times New Roman" w:cs="Calibri"/>
          <w:color w:val="000000"/>
          <w:sz w:val="28"/>
          <w:szCs w:val="28"/>
        </w:rPr>
      </w:pPr>
      <w:r w:rsidRPr="00920FD8" w:rsidR="00FA425F">
        <w:rPr>
          <w:rFonts w:ascii="Times New Roman" w:hAnsi="Times New Roman"/>
          <w:sz w:val="28"/>
          <w:szCs w:val="28"/>
        </w:rPr>
        <w:t>Головною мет</w:t>
      </w:r>
      <w:r w:rsidRPr="00920FD8" w:rsidR="00E25CE3">
        <w:rPr>
          <w:rFonts w:ascii="Times New Roman" w:hAnsi="Times New Roman"/>
          <w:sz w:val="28"/>
          <w:szCs w:val="28"/>
        </w:rPr>
        <w:t xml:space="preserve">ою проекту є </w:t>
      </w:r>
      <w:r>
        <w:rPr>
          <w:rFonts w:ascii="Times New Roman" w:hAnsi="Times New Roman"/>
          <w:sz w:val="28"/>
          <w:szCs w:val="28"/>
        </w:rPr>
        <w:t xml:space="preserve">усунення недоліків </w:t>
      </w:r>
      <w:r w:rsidRPr="0078523B">
        <w:rPr>
          <w:rFonts w:ascii="Times New Roman" w:hAnsi="Times New Roman"/>
          <w:bCs/>
          <w:sz w:val="28"/>
          <w:szCs w:val="28"/>
        </w:rPr>
        <w:t>К</w:t>
      </w:r>
      <w:r w:rsidRPr="0078523B">
        <w:rPr>
          <w:rFonts w:ascii="Times New Roman" w:hAnsi="Times New Roman"/>
          <w:sz w:val="28"/>
          <w:szCs w:val="28"/>
        </w:rPr>
        <w:t>одексу України з процедур банкрутств</w:t>
      </w:r>
      <w:r>
        <w:rPr>
          <w:rFonts w:ascii="Times New Roman" w:hAnsi="Times New Roman"/>
          <w:sz w:val="28"/>
          <w:szCs w:val="28"/>
        </w:rPr>
        <w:t xml:space="preserve">а та недопущення відкриття проваджень у справах про банкрутство органів державної влади, органів місцевого самоврядування, бюджетних установ та організацій </w:t>
      </w:r>
      <w:r w:rsidRPr="00920FD8" w:rsidR="00FA425F">
        <w:rPr>
          <w:rFonts w:ascii="Times New Roman" w:hAnsi="Times New Roman"/>
          <w:color w:val="000000"/>
          <w:sz w:val="28"/>
          <w:szCs w:val="28"/>
          <w:bdr w:val="nil"/>
          <w:shd w:val="clear" w:color="auto" w:fill="FFFFFF"/>
        </w:rPr>
        <w:t xml:space="preserve">задля недопущення порушення </w:t>
      </w:r>
      <w:r w:rsidRPr="00920FD8" w:rsidR="00FA425F">
        <w:rPr>
          <w:rFonts w:ascii="Times New Roman" w:hAnsi="Times New Roman" w:cs="Calibri"/>
          <w:color w:val="000000"/>
          <w:sz w:val="28"/>
          <w:szCs w:val="28"/>
        </w:rPr>
        <w:t>норм Конституції</w:t>
      </w:r>
      <w:r w:rsidRPr="00920FD8" w:rsidR="00E25CE3">
        <w:rPr>
          <w:rFonts w:ascii="Times New Roman" w:hAnsi="Times New Roman" w:cs="Calibri"/>
          <w:color w:val="000000"/>
          <w:sz w:val="28"/>
          <w:szCs w:val="28"/>
        </w:rPr>
        <w:t xml:space="preserve"> України</w:t>
      </w:r>
      <w:r>
        <w:rPr>
          <w:rFonts w:ascii="Times New Roman" w:hAnsi="Times New Roman" w:cs="Calibri"/>
          <w:color w:val="000000"/>
          <w:sz w:val="28"/>
          <w:szCs w:val="28"/>
        </w:rPr>
        <w:t>.</w:t>
      </w:r>
    </w:p>
    <w:p w:rsidR="00E25CE3" w:rsidP="002B0FE5">
      <w:pPr>
        <w:pStyle w:val="ListParagraph"/>
        <w:bidi w:val="0"/>
        <w:ind w:left="0" w:firstLine="567"/>
        <w:jc w:val="both"/>
        <w:rPr>
          <w:rFonts w:ascii="Times New Roman" w:hAnsi="Times New Roman"/>
          <w:sz w:val="28"/>
          <w:szCs w:val="28"/>
        </w:rPr>
      </w:pPr>
      <w:r w:rsidR="00386F7F">
        <w:rPr>
          <w:rFonts w:ascii="Times New Roman" w:hAnsi="Times New Roman" w:cs="Calibri"/>
          <w:color w:val="000000"/>
          <w:sz w:val="28"/>
          <w:szCs w:val="28"/>
        </w:rPr>
        <w:t xml:space="preserve">Також прийняття вказаного </w:t>
      </w:r>
      <w:r w:rsidR="00956C4F">
        <w:rPr>
          <w:rFonts w:ascii="Times New Roman" w:hAnsi="Times New Roman" w:cs="Calibri"/>
          <w:color w:val="000000"/>
          <w:sz w:val="28"/>
          <w:szCs w:val="28"/>
        </w:rPr>
        <w:t>з</w:t>
      </w:r>
      <w:r w:rsidR="0030040C">
        <w:rPr>
          <w:rFonts w:ascii="Times New Roman" w:hAnsi="Times New Roman" w:cs="Calibri"/>
          <w:color w:val="000000"/>
          <w:sz w:val="28"/>
          <w:szCs w:val="28"/>
        </w:rPr>
        <w:t>аконо</w:t>
      </w:r>
      <w:r w:rsidR="00386F7F">
        <w:rPr>
          <w:rFonts w:ascii="Times New Roman" w:hAnsi="Times New Roman" w:cs="Calibri"/>
          <w:color w:val="000000"/>
          <w:sz w:val="28"/>
          <w:szCs w:val="28"/>
        </w:rPr>
        <w:t>проекту дозволить господарським судам здійснювати провадженн</w:t>
      </w:r>
      <w:r w:rsidR="002B0FE5">
        <w:rPr>
          <w:rFonts w:ascii="Times New Roman" w:hAnsi="Times New Roman" w:cs="Calibri"/>
          <w:color w:val="000000"/>
          <w:sz w:val="28"/>
          <w:szCs w:val="28"/>
        </w:rPr>
        <w:t>я у справах про банкрутство у встановлені Кодексом процесуальні строки, що стимулює інвестиційну та кредитну</w:t>
      </w:r>
      <w:r w:rsidRPr="00920FD8">
        <w:rPr>
          <w:rFonts w:ascii="Times New Roman" w:hAnsi="Times New Roman" w:cs="Calibri"/>
          <w:color w:val="000000"/>
          <w:sz w:val="28"/>
          <w:szCs w:val="28"/>
        </w:rPr>
        <w:t xml:space="preserve"> сфери</w:t>
      </w:r>
      <w:r w:rsidR="002B0FE5">
        <w:rPr>
          <w:rFonts w:ascii="Times New Roman" w:hAnsi="Times New Roman" w:cs="Calibri"/>
          <w:color w:val="000000"/>
          <w:sz w:val="28"/>
          <w:szCs w:val="28"/>
        </w:rPr>
        <w:t xml:space="preserve"> економіки України.</w:t>
      </w:r>
      <w:r w:rsidR="00B86560">
        <w:rPr>
          <w:rFonts w:ascii="Times New Roman" w:hAnsi="Times New Roman" w:cs="Calibri"/>
          <w:color w:val="000000"/>
          <w:sz w:val="28"/>
          <w:szCs w:val="28"/>
        </w:rPr>
        <w:t xml:space="preserve"> Законопроект прискорить</w:t>
      </w:r>
      <w:r w:rsidR="005E70C2">
        <w:rPr>
          <w:rFonts w:ascii="Times New Roman" w:hAnsi="Times New Roman" w:cs="Calibri"/>
          <w:color w:val="000000"/>
          <w:sz w:val="28"/>
          <w:szCs w:val="28"/>
        </w:rPr>
        <w:t xml:space="preserve"> приведення</w:t>
      </w:r>
      <w:r w:rsidRPr="005E70C2" w:rsidR="005E70C2">
        <w:rPr>
          <w:rFonts w:ascii="Times New Roman" w:hAnsi="Times New Roman" w:cs="Calibri"/>
          <w:color w:val="000000"/>
          <w:sz w:val="28"/>
          <w:szCs w:val="28"/>
        </w:rPr>
        <w:t xml:space="preserve"> </w:t>
      </w:r>
      <w:r w:rsidRPr="005E70C2" w:rsidR="005E70C2">
        <w:rPr>
          <w:rFonts w:ascii="Times New Roman" w:hAnsi="Times New Roman"/>
          <w:sz w:val="28"/>
          <w:szCs w:val="28"/>
        </w:rPr>
        <w:t>Положення про автоматизовану систему документообігу суду у відповідність до цього Кодексу</w:t>
      </w:r>
      <w:r w:rsidR="005E70C2">
        <w:rPr>
          <w:rFonts w:ascii="Times New Roman" w:hAnsi="Times New Roman"/>
          <w:sz w:val="28"/>
          <w:szCs w:val="28"/>
        </w:rPr>
        <w:t xml:space="preserve">, а також </w:t>
      </w:r>
      <w:r w:rsidRPr="005E70C2" w:rsidR="005E70C2">
        <w:rPr>
          <w:rFonts w:ascii="Times New Roman" w:hAnsi="Times New Roman" w:cs="Calibri"/>
          <w:color w:val="000000"/>
          <w:sz w:val="28"/>
          <w:szCs w:val="28"/>
        </w:rPr>
        <w:t>впровадження</w:t>
      </w:r>
      <w:r w:rsidRPr="005E70C2" w:rsidR="00B86560">
        <w:rPr>
          <w:rFonts w:ascii="Times New Roman" w:hAnsi="Times New Roman" w:cs="Calibri"/>
          <w:color w:val="000000"/>
          <w:sz w:val="28"/>
          <w:szCs w:val="28"/>
        </w:rPr>
        <w:t xml:space="preserve"> </w:t>
      </w:r>
      <w:r w:rsidR="005E70C2">
        <w:rPr>
          <w:rFonts w:ascii="Times New Roman" w:hAnsi="Times New Roman" w:cs="Calibri"/>
          <w:color w:val="000000"/>
          <w:sz w:val="28"/>
          <w:szCs w:val="28"/>
        </w:rPr>
        <w:t xml:space="preserve">в роботу судів </w:t>
      </w:r>
      <w:r w:rsidRPr="005E70C2" w:rsidR="00B86560">
        <w:rPr>
          <w:rFonts w:ascii="Times New Roman" w:hAnsi="Times New Roman"/>
          <w:sz w:val="28"/>
          <w:szCs w:val="28"/>
        </w:rPr>
        <w:t>Єдиної судової інформаційно-</w:t>
      </w:r>
      <w:r w:rsidR="00B86560">
        <w:rPr>
          <w:rFonts w:ascii="Times New Roman" w:hAnsi="Times New Roman"/>
          <w:sz w:val="28"/>
          <w:szCs w:val="28"/>
        </w:rPr>
        <w:t>телекомунікаційної системи, передб</w:t>
      </w:r>
      <w:r w:rsidR="005E70C2">
        <w:rPr>
          <w:rFonts w:ascii="Times New Roman" w:hAnsi="Times New Roman"/>
          <w:sz w:val="28"/>
          <w:szCs w:val="28"/>
        </w:rPr>
        <w:t>аченої процесуальними кодексами.</w:t>
      </w:r>
    </w:p>
    <w:p w:rsidR="00F75EDA" w:rsidRPr="00920FD8" w:rsidP="002B0FE5">
      <w:pPr>
        <w:pStyle w:val="ListParagraph"/>
        <w:bidi w:val="0"/>
        <w:ind w:left="0" w:firstLine="567"/>
        <w:jc w:val="both"/>
        <w:rPr>
          <w:rFonts w:ascii="Times New Roman" w:hAnsi="Times New Roman" w:cs="Calibri"/>
          <w:color w:val="000000"/>
          <w:sz w:val="28"/>
          <w:szCs w:val="28"/>
        </w:rPr>
      </w:pPr>
    </w:p>
    <w:p w:rsidR="00FA425F" w:rsidRPr="00920FD8" w:rsidP="00FA425F">
      <w:pPr>
        <w:bidi w:val="0"/>
        <w:jc w:val="both"/>
        <w:rPr>
          <w:rFonts w:ascii="Times New Roman" w:hAnsi="Times New Roman"/>
          <w:sz w:val="28"/>
          <w:szCs w:val="28"/>
        </w:rPr>
      </w:pPr>
    </w:p>
    <w:p w:rsidR="00FA425F" w:rsidRPr="00920FD8" w:rsidP="00386F7F">
      <w:pPr>
        <w:numPr>
          <w:numId w:val="1"/>
        </w:numPr>
        <w:bidi w:val="0"/>
        <w:spacing w:after="120"/>
        <w:rPr>
          <w:rFonts w:ascii="Times New Roman" w:hAnsi="Times New Roman"/>
          <w:b/>
          <w:sz w:val="28"/>
          <w:szCs w:val="28"/>
        </w:rPr>
      </w:pPr>
      <w:r w:rsidRPr="00920FD8">
        <w:rPr>
          <w:rFonts w:ascii="Times New Roman" w:hAnsi="Times New Roman"/>
          <w:b/>
          <w:sz w:val="28"/>
          <w:szCs w:val="28"/>
        </w:rPr>
        <w:t>Загальна хара</w:t>
      </w:r>
      <w:r w:rsidR="00560CBC">
        <w:rPr>
          <w:rFonts w:ascii="Times New Roman" w:hAnsi="Times New Roman"/>
          <w:b/>
          <w:sz w:val="28"/>
          <w:szCs w:val="28"/>
        </w:rPr>
        <w:t>ктеристика і основні положення з</w:t>
      </w:r>
      <w:r w:rsidRPr="00920FD8">
        <w:rPr>
          <w:rFonts w:ascii="Times New Roman" w:hAnsi="Times New Roman"/>
          <w:b/>
          <w:sz w:val="28"/>
          <w:szCs w:val="28"/>
        </w:rPr>
        <w:t>аконопроекту</w:t>
      </w:r>
    </w:p>
    <w:p w:rsidR="00B01DE3" w:rsidP="00FA425F">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sidRPr="004D2D7D" w:rsidR="00FA425F">
        <w:rPr>
          <w:rFonts w:ascii="Times New Roman" w:hAnsi="Times New Roman"/>
          <w:sz w:val="28"/>
          <w:szCs w:val="28"/>
          <w:lang w:val="uk-UA"/>
        </w:rPr>
        <w:t xml:space="preserve">Законопроект передбачає </w:t>
      </w:r>
      <w:r w:rsidRPr="004D2D7D" w:rsidR="004D2D7D">
        <w:rPr>
          <w:rFonts w:ascii="Times New Roman" w:hAnsi="Times New Roman"/>
          <w:sz w:val="28"/>
          <w:szCs w:val="28"/>
          <w:lang w:val="uk-UA"/>
        </w:rPr>
        <w:t xml:space="preserve">доповнення ст. 1 </w:t>
      </w:r>
      <w:r w:rsidRPr="004D2D7D" w:rsidR="004D2D7D">
        <w:rPr>
          <w:rFonts w:ascii="Times New Roman" w:hAnsi="Times New Roman"/>
          <w:bCs/>
          <w:sz w:val="28"/>
          <w:szCs w:val="28"/>
        </w:rPr>
        <w:t>К</w:t>
      </w:r>
      <w:r w:rsidRPr="004D2D7D" w:rsidR="004D2D7D">
        <w:rPr>
          <w:rFonts w:ascii="Times New Roman" w:hAnsi="Times New Roman"/>
          <w:sz w:val="28"/>
          <w:szCs w:val="28"/>
        </w:rPr>
        <w:t>одексу України з процедур банкрутства</w:t>
      </w:r>
      <w:r w:rsidRPr="004D2D7D" w:rsidR="004D2D7D">
        <w:rPr>
          <w:rFonts w:ascii="Times New Roman" w:hAnsi="Times New Roman"/>
          <w:sz w:val="28"/>
          <w:szCs w:val="28"/>
          <w:lang w:val="uk-UA"/>
        </w:rPr>
        <w:t xml:space="preserve"> останнім абзацом, в якому </w:t>
      </w:r>
      <w:r w:rsidR="004D2D7D">
        <w:rPr>
          <w:rFonts w:ascii="Times New Roman" w:hAnsi="Times New Roman"/>
          <w:sz w:val="28"/>
          <w:szCs w:val="28"/>
          <w:lang w:val="uk-UA"/>
        </w:rPr>
        <w:t xml:space="preserve">слід </w:t>
      </w:r>
      <w:r w:rsidRPr="004D2D7D" w:rsidR="004D2D7D">
        <w:rPr>
          <w:rFonts w:ascii="Times New Roman" w:hAnsi="Times New Roman"/>
          <w:sz w:val="28"/>
          <w:szCs w:val="28"/>
          <w:lang w:val="uk-UA"/>
        </w:rPr>
        <w:t>вказати, що термін «бюджетна установа» вживається у значенні, наведеному в Бюджетному кодексі України.</w:t>
      </w:r>
      <w:r w:rsidR="004D2D7D">
        <w:rPr>
          <w:rFonts w:ascii="Times New Roman" w:hAnsi="Times New Roman"/>
          <w:sz w:val="28"/>
          <w:szCs w:val="28"/>
          <w:lang w:val="uk-UA"/>
        </w:rPr>
        <w:t xml:space="preserve"> Вказане доповнення ст. 1 Кодексу запропоноване у зв</w:t>
      </w:r>
      <w:r w:rsidRPr="004D2D7D" w:rsidR="004D2D7D">
        <w:rPr>
          <w:rFonts w:ascii="Times New Roman" w:hAnsi="Times New Roman"/>
          <w:sz w:val="28"/>
          <w:szCs w:val="28"/>
        </w:rPr>
        <w:t>’</w:t>
      </w:r>
      <w:r w:rsidR="004D2D7D">
        <w:rPr>
          <w:rFonts w:ascii="Times New Roman" w:hAnsi="Times New Roman"/>
          <w:sz w:val="28"/>
          <w:szCs w:val="28"/>
          <w:lang w:val="uk-UA"/>
        </w:rPr>
        <w:t xml:space="preserve">язку з викладенням ч. 4 ст. </w:t>
      </w:r>
      <w:r>
        <w:rPr>
          <w:rFonts w:ascii="Times New Roman" w:hAnsi="Times New Roman"/>
          <w:sz w:val="28"/>
          <w:szCs w:val="28"/>
          <w:lang w:val="uk-UA"/>
        </w:rPr>
        <w:t xml:space="preserve">2 Кодексу в новій редакції – «4. </w:t>
      </w:r>
      <w:r w:rsidRPr="00B01DE3">
        <w:rPr>
          <w:rFonts w:ascii="Times New Roman" w:hAnsi="Times New Roman"/>
          <w:sz w:val="28"/>
          <w:szCs w:val="28"/>
          <w:lang w:val="uk-UA"/>
        </w:rPr>
        <w:t>Положення цього Кодексу не застосовуються до бюджетних установ, казенних підприємств</w:t>
      </w:r>
      <w:r>
        <w:rPr>
          <w:rFonts w:ascii="Times New Roman" w:hAnsi="Times New Roman"/>
          <w:sz w:val="28"/>
          <w:szCs w:val="28"/>
          <w:lang w:val="uk-UA"/>
        </w:rPr>
        <w:t>.». Термін «бюджетна установа», наведений у Бюджетному кодексі охоплює все коло суб</w:t>
      </w:r>
      <w:r w:rsidRPr="00B01DE3">
        <w:rPr>
          <w:rFonts w:ascii="Times New Roman" w:hAnsi="Times New Roman"/>
          <w:sz w:val="28"/>
          <w:szCs w:val="28"/>
        </w:rPr>
        <w:t>’</w:t>
      </w:r>
      <w:r>
        <w:rPr>
          <w:rFonts w:ascii="Times New Roman" w:hAnsi="Times New Roman"/>
          <w:sz w:val="28"/>
          <w:szCs w:val="28"/>
          <w:lang w:val="uk-UA"/>
        </w:rPr>
        <w:t xml:space="preserve">єктів, в тому числі </w:t>
      </w:r>
      <w:r>
        <w:rPr>
          <w:rFonts w:ascii="Times New Roman" w:hAnsi="Times New Roman"/>
          <w:sz w:val="28"/>
          <w:szCs w:val="28"/>
        </w:rPr>
        <w:t>органів державної влади, органів місцевого самоврядування, бюджетних установ та організацій</w:t>
      </w:r>
      <w:r>
        <w:rPr>
          <w:rFonts w:ascii="Times New Roman" w:hAnsi="Times New Roman"/>
          <w:sz w:val="28"/>
          <w:szCs w:val="28"/>
          <w:lang w:val="uk-UA"/>
        </w:rPr>
        <w:t xml:space="preserve">, </w:t>
      </w:r>
      <w:r w:rsidR="002419CF">
        <w:rPr>
          <w:rFonts w:ascii="Times New Roman" w:hAnsi="Times New Roman"/>
          <w:sz w:val="28"/>
          <w:szCs w:val="28"/>
          <w:lang w:val="uk-UA"/>
        </w:rPr>
        <w:t xml:space="preserve">відкриття проваджень про банкрутство яких </w:t>
      </w:r>
      <w:r>
        <w:rPr>
          <w:rFonts w:ascii="Times New Roman" w:hAnsi="Times New Roman"/>
          <w:sz w:val="28"/>
          <w:szCs w:val="28"/>
          <w:lang w:val="uk-UA"/>
        </w:rPr>
        <w:t>суперечить Конституції України. При цьому слід заз</w:t>
      </w:r>
      <w:r w:rsidR="002419CF">
        <w:rPr>
          <w:rFonts w:ascii="Times New Roman" w:hAnsi="Times New Roman"/>
          <w:sz w:val="28"/>
          <w:szCs w:val="28"/>
          <w:lang w:val="uk-UA"/>
        </w:rPr>
        <w:t>начити, що законодавством України встановлено альтернативний механізм виконання рішень про стягнення коштів державного та місцевого бюджетів, бюджетних установ і організацій шляхом безспірного списання коштів.</w:t>
      </w:r>
    </w:p>
    <w:p w:rsidR="00560CBC" w:rsidRPr="000345B8" w:rsidP="00FA425F">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sidR="00956C4F">
        <w:rPr>
          <w:rFonts w:ascii="Times New Roman" w:hAnsi="Times New Roman"/>
          <w:sz w:val="28"/>
          <w:szCs w:val="28"/>
          <w:lang w:val="uk-UA"/>
        </w:rPr>
        <w:t xml:space="preserve">Також законопроектом передбачено доповнення ч. 2 ст. 34 Кодексу нормою про необхідність подання кредитором при </w:t>
      </w:r>
      <w:r w:rsidR="00F92C24">
        <w:rPr>
          <w:rFonts w:ascii="Times New Roman" w:hAnsi="Times New Roman"/>
          <w:sz w:val="28"/>
          <w:szCs w:val="28"/>
          <w:lang w:val="uk-UA"/>
        </w:rPr>
        <w:t xml:space="preserve">зверненні до суду із заявою </w:t>
      </w:r>
      <w:r w:rsidRPr="00F92C24" w:rsidR="00F92C24">
        <w:rPr>
          <w:rFonts w:ascii="Times New Roman" w:hAnsi="Times New Roman"/>
          <w:sz w:val="28"/>
          <w:szCs w:val="28"/>
          <w:lang w:val="uk-UA"/>
        </w:rPr>
        <w:t xml:space="preserve">про відкриття провадження у справі про банкрутство </w:t>
      </w:r>
      <w:r w:rsidR="00F92C24">
        <w:rPr>
          <w:rFonts w:ascii="Times New Roman" w:hAnsi="Times New Roman"/>
          <w:sz w:val="28"/>
          <w:szCs w:val="28"/>
          <w:lang w:val="uk-UA"/>
        </w:rPr>
        <w:t>судового</w:t>
      </w:r>
      <w:r w:rsidRPr="00F92C24" w:rsidR="00F92C24">
        <w:rPr>
          <w:rFonts w:ascii="Times New Roman" w:hAnsi="Times New Roman"/>
          <w:sz w:val="28"/>
          <w:szCs w:val="28"/>
          <w:lang w:val="uk-UA"/>
        </w:rPr>
        <w:t xml:space="preserve"> рішення, яке набрало законної сили, та за яким не сплив строк пред</w:t>
      </w:r>
      <w:r w:rsidRPr="00F92C24" w:rsidR="00F92C24">
        <w:rPr>
          <w:rFonts w:ascii="Times New Roman" w:hAnsi="Times New Roman"/>
          <w:sz w:val="28"/>
          <w:szCs w:val="28"/>
        </w:rPr>
        <w:t>’</w:t>
      </w:r>
      <w:r w:rsidR="00F92C24">
        <w:rPr>
          <w:rFonts w:ascii="Times New Roman" w:hAnsi="Times New Roman"/>
          <w:sz w:val="28"/>
          <w:szCs w:val="28"/>
          <w:lang w:val="uk-UA"/>
        </w:rPr>
        <w:t>явлення його до виконання. У зв</w:t>
      </w:r>
      <w:r w:rsidRPr="00D90483" w:rsidR="00F92C24">
        <w:rPr>
          <w:rFonts w:ascii="Times New Roman" w:hAnsi="Times New Roman"/>
          <w:sz w:val="28"/>
          <w:szCs w:val="28"/>
        </w:rPr>
        <w:t>’</w:t>
      </w:r>
      <w:r w:rsidR="00F92C24">
        <w:rPr>
          <w:rFonts w:ascii="Times New Roman" w:hAnsi="Times New Roman"/>
          <w:sz w:val="28"/>
          <w:szCs w:val="28"/>
          <w:lang w:val="uk-UA"/>
        </w:rPr>
        <w:t xml:space="preserve">язку з цим </w:t>
      </w:r>
      <w:r w:rsidR="00D90483">
        <w:rPr>
          <w:rFonts w:ascii="Times New Roman" w:hAnsi="Times New Roman"/>
          <w:sz w:val="28"/>
          <w:szCs w:val="28"/>
          <w:lang w:val="uk-UA"/>
        </w:rPr>
        <w:t xml:space="preserve">таку підставу для відмови господарським судом у відкритті провадження у справі про банкрутство, як </w:t>
      </w:r>
      <w:r w:rsidRPr="000345B8" w:rsidR="000345B8">
        <w:rPr>
          <w:rFonts w:ascii="Times New Roman" w:hAnsi="Times New Roman"/>
          <w:sz w:val="28"/>
          <w:szCs w:val="28"/>
          <w:lang w:val="uk-UA"/>
        </w:rPr>
        <w:t>наявність спору про право, який підлягає вирішенню у порядку позовн</w:t>
      </w:r>
      <w:r w:rsidR="000345B8">
        <w:rPr>
          <w:rFonts w:ascii="Times New Roman" w:hAnsi="Times New Roman"/>
          <w:sz w:val="28"/>
          <w:szCs w:val="28"/>
          <w:lang w:val="uk-UA"/>
        </w:rPr>
        <w:t>ого провадження, необхідно змінити на наступну підставу: «</w:t>
      </w:r>
      <w:r w:rsidRPr="000345B8" w:rsidR="000345B8">
        <w:rPr>
          <w:rFonts w:ascii="Times New Roman" w:hAnsi="Times New Roman"/>
          <w:sz w:val="28"/>
          <w:szCs w:val="28"/>
          <w:lang w:val="uk-UA"/>
        </w:rPr>
        <w:t xml:space="preserve">кредитором не додано до заяви про відкриття провадження у справі про банкрутство судового рішення, яке набрало законної сили, відповідно до </w:t>
      </w:r>
      <w:r w:rsidR="000345B8">
        <w:rPr>
          <w:rFonts w:ascii="Times New Roman" w:hAnsi="Times New Roman"/>
          <w:sz w:val="28"/>
          <w:szCs w:val="28"/>
          <w:lang w:val="uk-UA"/>
        </w:rPr>
        <w:t>вимог ч. 2 ст. 34 цього Кодексу».</w:t>
      </w:r>
    </w:p>
    <w:p w:rsidR="00B86560" w:rsidP="00FA425F">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Pr>
          <w:rFonts w:ascii="Times New Roman" w:hAnsi="Times New Roman"/>
          <w:sz w:val="28"/>
          <w:szCs w:val="28"/>
          <w:lang w:val="uk-UA"/>
        </w:rPr>
        <w:t xml:space="preserve">Доповнення </w:t>
      </w:r>
      <w:r w:rsidRPr="00920FD8" w:rsidR="00FA425F">
        <w:rPr>
          <w:rFonts w:ascii="Times New Roman" w:hAnsi="Times New Roman"/>
          <w:bCs/>
          <w:sz w:val="28"/>
          <w:szCs w:val="28"/>
          <w:lang w:val="uk-UA"/>
        </w:rPr>
        <w:t>Прикінцевих та перехідних положень К</w:t>
      </w:r>
      <w:r w:rsidRPr="00920FD8" w:rsidR="00FA425F">
        <w:rPr>
          <w:rFonts w:ascii="Times New Roman" w:hAnsi="Times New Roman"/>
          <w:sz w:val="28"/>
          <w:szCs w:val="28"/>
          <w:lang w:val="uk-UA"/>
        </w:rPr>
        <w:t>одексу</w:t>
      </w:r>
      <w:r>
        <w:rPr>
          <w:rFonts w:ascii="Times New Roman" w:hAnsi="Times New Roman"/>
          <w:sz w:val="28"/>
          <w:szCs w:val="28"/>
          <w:lang w:val="uk-UA"/>
        </w:rPr>
        <w:t xml:space="preserve"> України з процедур банкрутства ст. 2-1 та 2-2 зумовлено необхідністю розгляду господарськими судами справ про банкрутство у процесуальні строки, встановлені Кодексом.</w:t>
      </w:r>
    </w:p>
    <w:p w:rsidR="00B86560" w:rsidP="00B86560">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Pr>
          <w:rFonts w:ascii="Times New Roman" w:hAnsi="Times New Roman"/>
          <w:sz w:val="28"/>
          <w:szCs w:val="28"/>
          <w:lang w:val="uk-UA"/>
        </w:rPr>
        <w:t>У зв</w:t>
      </w:r>
      <w:r w:rsidRPr="00B86560">
        <w:rPr>
          <w:rFonts w:ascii="Times New Roman" w:hAnsi="Times New Roman"/>
          <w:sz w:val="28"/>
          <w:szCs w:val="28"/>
        </w:rPr>
        <w:t>’</w:t>
      </w:r>
      <w:r>
        <w:rPr>
          <w:rFonts w:ascii="Times New Roman" w:hAnsi="Times New Roman"/>
          <w:sz w:val="28"/>
          <w:szCs w:val="28"/>
          <w:lang w:val="uk-UA"/>
        </w:rPr>
        <w:t xml:space="preserve">язку з цим </w:t>
      </w:r>
      <w:r>
        <w:rPr>
          <w:rFonts w:ascii="Times New Roman" w:hAnsi="Times New Roman"/>
          <w:bCs/>
          <w:sz w:val="28"/>
          <w:szCs w:val="28"/>
          <w:lang w:val="uk-UA"/>
        </w:rPr>
        <w:t>Прикінцеві та перехідні положення</w:t>
      </w:r>
      <w:r w:rsidRPr="00920FD8">
        <w:rPr>
          <w:rFonts w:ascii="Times New Roman" w:hAnsi="Times New Roman"/>
          <w:bCs/>
          <w:sz w:val="28"/>
          <w:szCs w:val="28"/>
          <w:lang w:val="uk-UA"/>
        </w:rPr>
        <w:t xml:space="preserve"> К</w:t>
      </w:r>
      <w:r w:rsidRPr="00920FD8">
        <w:rPr>
          <w:rFonts w:ascii="Times New Roman" w:hAnsi="Times New Roman"/>
          <w:sz w:val="28"/>
          <w:szCs w:val="28"/>
          <w:lang w:val="uk-UA"/>
        </w:rPr>
        <w:t>одексу</w:t>
      </w:r>
      <w:r>
        <w:rPr>
          <w:rFonts w:ascii="Times New Roman" w:hAnsi="Times New Roman"/>
          <w:sz w:val="28"/>
          <w:szCs w:val="28"/>
          <w:lang w:val="uk-UA"/>
        </w:rPr>
        <w:t xml:space="preserve"> України з процедур банкрутства пропонується доповнити ст. 2-1 та 2-2 наступного змісту:</w:t>
      </w:r>
    </w:p>
    <w:p w:rsidR="00B86560" w:rsidRPr="00B86560" w:rsidP="00B86560">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sidRPr="00B86560">
        <w:rPr>
          <w:rFonts w:ascii="Times New Roman" w:hAnsi="Times New Roman"/>
          <w:sz w:val="28"/>
          <w:szCs w:val="28"/>
          <w:lang w:val="uk-UA"/>
        </w:rPr>
        <w:t>«2</w:t>
      </w:r>
      <w:r w:rsidRPr="00B86560">
        <w:rPr>
          <w:rFonts w:ascii="Times New Roman" w:hAnsi="Times New Roman"/>
          <w:sz w:val="28"/>
          <w:szCs w:val="28"/>
          <w:vertAlign w:val="superscript"/>
          <w:lang w:val="uk-UA"/>
        </w:rPr>
        <w:t>1</w:t>
      </w:r>
      <w:r w:rsidRPr="00B86560">
        <w:rPr>
          <w:rFonts w:ascii="Times New Roman" w:hAnsi="Times New Roman"/>
          <w:sz w:val="28"/>
          <w:szCs w:val="28"/>
          <w:lang w:val="uk-UA"/>
        </w:rPr>
        <w:t xml:space="preserve">. До дня початку функціонування Єдиної судової інформаційно-телекомунікаційної системи </w:t>
      </w:r>
      <w:r w:rsidRPr="0017321B" w:rsidR="0017321B">
        <w:rPr>
          <w:rFonts w:ascii="Times New Roman" w:hAnsi="Times New Roman"/>
          <w:sz w:val="28"/>
          <w:szCs w:val="28"/>
          <w:lang w:val="uk-UA"/>
        </w:rPr>
        <w:t>або до приведення Положення про автоматизовану систему документообігу суду у відповідність до цього Кодексу</w:t>
      </w:r>
      <w:r w:rsidR="0017321B">
        <w:rPr>
          <w:rFonts w:ascii="Times New Roman" w:hAnsi="Times New Roman"/>
          <w:sz w:val="28"/>
          <w:szCs w:val="28"/>
          <w:lang w:val="uk-UA"/>
        </w:rPr>
        <w:t xml:space="preserve"> </w:t>
      </w:r>
      <w:r w:rsidRPr="0017321B">
        <w:rPr>
          <w:rFonts w:ascii="Times New Roman" w:hAnsi="Times New Roman"/>
          <w:sz w:val="28"/>
          <w:szCs w:val="28"/>
          <w:lang w:val="uk-UA"/>
        </w:rPr>
        <w:t>арбітражний керуючий</w:t>
      </w:r>
      <w:r w:rsidRPr="00B86560">
        <w:rPr>
          <w:rFonts w:ascii="Times New Roman" w:hAnsi="Times New Roman"/>
          <w:sz w:val="28"/>
          <w:szCs w:val="28"/>
          <w:lang w:val="uk-UA"/>
        </w:rPr>
        <w:t xml:space="preserve"> для виконання повноважень розпорядника майна або керуючого реструктуризацією призначається господарським судом з числа арбітражних керуючих, внесених до Єдиного реєстру арбітражних керуючих України.</w:t>
      </w:r>
    </w:p>
    <w:p w:rsidR="00B86560" w:rsidRPr="00AF41B5" w:rsidP="00FA425F">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sidRPr="00AF41B5">
        <w:rPr>
          <w:rFonts w:ascii="Times New Roman" w:hAnsi="Times New Roman"/>
          <w:sz w:val="28"/>
          <w:szCs w:val="28"/>
          <w:lang w:val="uk-UA"/>
        </w:rPr>
        <w:t>2</w:t>
      </w:r>
      <w:r w:rsidRPr="00AF41B5">
        <w:rPr>
          <w:rFonts w:ascii="Times New Roman" w:hAnsi="Times New Roman"/>
          <w:sz w:val="28"/>
          <w:szCs w:val="28"/>
          <w:vertAlign w:val="superscript"/>
          <w:lang w:val="uk-UA"/>
        </w:rPr>
        <w:t>2</w:t>
      </w:r>
      <w:r w:rsidRPr="00AF41B5">
        <w:rPr>
          <w:rFonts w:ascii="Times New Roman" w:hAnsi="Times New Roman"/>
          <w:sz w:val="28"/>
          <w:szCs w:val="28"/>
          <w:lang w:val="uk-UA"/>
        </w:rPr>
        <w:t xml:space="preserve">. </w:t>
      </w:r>
      <w:r w:rsidRPr="00AF41B5" w:rsidR="00AF41B5">
        <w:rPr>
          <w:rFonts w:ascii="Times New Roman" w:hAnsi="Times New Roman"/>
          <w:sz w:val="28"/>
          <w:szCs w:val="28"/>
          <w:lang w:val="uk-UA"/>
        </w:rPr>
        <w:t xml:space="preserve">До дня початку функціонування Єдиної судової інформаційно-телекомунікаційної системи або до приведення Положення про автоматизовану систему документообігу суду у відповідність до цього Кодексу офіційне оприлюднення відомостей про справу про банкрутство у випадках, передбачених цим Кодексом, проводиться </w:t>
      </w:r>
      <w:r w:rsidRPr="00AF41B5" w:rsidR="00AF41B5">
        <w:rPr>
          <w:rFonts w:ascii="Times New Roman" w:hAnsi="Times New Roman"/>
          <w:sz w:val="28"/>
          <w:szCs w:val="28"/>
        </w:rPr>
        <w:t xml:space="preserve">на офіційному веб-порталі судової влади України </w:t>
      </w:r>
      <w:r w:rsidRPr="00AF41B5" w:rsidR="00AF41B5">
        <w:rPr>
          <w:rFonts w:ascii="Times New Roman" w:hAnsi="Times New Roman"/>
          <w:sz w:val="28"/>
          <w:szCs w:val="28"/>
          <w:lang w:val="uk-UA"/>
        </w:rPr>
        <w:t>згідно Положення про порядок офіційного оприлюднення відомостей про справу про банкрутство, затвердженого постановою Пленуму Вищого господарського суду України від 17.12.2013 р. № 16.</w:t>
      </w:r>
      <w:r w:rsidRPr="00AF41B5">
        <w:rPr>
          <w:rFonts w:ascii="Times New Roman" w:hAnsi="Times New Roman"/>
          <w:sz w:val="28"/>
          <w:szCs w:val="28"/>
          <w:lang w:val="uk-UA"/>
        </w:rPr>
        <w:t>».</w:t>
      </w:r>
    </w:p>
    <w:p w:rsidR="00FA425F" w:rsidP="00FA425F">
      <w:pPr>
        <w:pStyle w:val="ListParagraph"/>
        <w:bidi w:val="0"/>
        <w:spacing w:after="120"/>
        <w:ind w:left="0" w:firstLine="567"/>
        <w:jc w:val="both"/>
        <w:rPr>
          <w:rFonts w:ascii="Times New Roman" w:hAnsi="Times New Roman"/>
          <w:sz w:val="28"/>
          <w:szCs w:val="28"/>
          <w:lang w:eastAsia="en-US"/>
        </w:rPr>
      </w:pPr>
    </w:p>
    <w:p w:rsidR="00F75EDA" w:rsidRPr="00920FD8" w:rsidP="00FA425F">
      <w:pPr>
        <w:pStyle w:val="ListParagraph"/>
        <w:bidi w:val="0"/>
        <w:spacing w:after="120"/>
        <w:ind w:left="0" w:firstLine="567"/>
        <w:jc w:val="both"/>
        <w:rPr>
          <w:rFonts w:ascii="Times New Roman" w:hAnsi="Times New Roman"/>
          <w:sz w:val="28"/>
          <w:szCs w:val="28"/>
          <w:lang w:eastAsia="en-US"/>
        </w:rPr>
      </w:pPr>
    </w:p>
    <w:p w:rsidR="00FA425F" w:rsidRPr="00920FD8" w:rsidP="00386F7F">
      <w:pPr>
        <w:numPr>
          <w:numId w:val="1"/>
        </w:numPr>
        <w:bidi w:val="0"/>
        <w:spacing w:after="120"/>
        <w:rPr>
          <w:rFonts w:ascii="Times New Roman" w:hAnsi="Times New Roman"/>
          <w:b/>
          <w:sz w:val="28"/>
          <w:szCs w:val="28"/>
        </w:rPr>
      </w:pPr>
      <w:r w:rsidRPr="00920FD8">
        <w:rPr>
          <w:rFonts w:ascii="Times New Roman" w:hAnsi="Times New Roman"/>
          <w:b/>
          <w:sz w:val="28"/>
          <w:szCs w:val="28"/>
        </w:rPr>
        <w:t>Правові аспекти</w:t>
      </w:r>
    </w:p>
    <w:p w:rsidR="00FA425F" w:rsidRPr="00920FD8" w:rsidP="00FA425F">
      <w:pPr>
        <w:bidi w:val="0"/>
        <w:ind w:firstLine="540"/>
        <w:jc w:val="both"/>
        <w:rPr>
          <w:rFonts w:ascii="Times New Roman" w:hAnsi="Times New Roman"/>
          <w:sz w:val="28"/>
          <w:szCs w:val="28"/>
        </w:rPr>
      </w:pPr>
      <w:r w:rsidRPr="00920FD8">
        <w:rPr>
          <w:rFonts w:ascii="Times New Roman" w:hAnsi="Times New Roman"/>
          <w:sz w:val="28"/>
          <w:szCs w:val="28"/>
        </w:rPr>
        <w:t xml:space="preserve">У цій сфері правового регулювання діють: Конституція України, </w:t>
      </w:r>
      <w:r w:rsidRPr="00920FD8">
        <w:rPr>
          <w:rFonts w:ascii="Times New Roman" w:hAnsi="Times New Roman"/>
          <w:bCs/>
          <w:sz w:val="28"/>
          <w:szCs w:val="28"/>
        </w:rPr>
        <w:t>К</w:t>
      </w:r>
      <w:r w:rsidRPr="00920FD8">
        <w:rPr>
          <w:rFonts w:ascii="Times New Roman" w:hAnsi="Times New Roman"/>
          <w:sz w:val="28"/>
          <w:szCs w:val="28"/>
        </w:rPr>
        <w:t>одекс України з процедур банкрутства.</w:t>
      </w:r>
    </w:p>
    <w:p w:rsidR="00FA425F" w:rsidRPr="00920FD8" w:rsidP="00FA425F">
      <w:pPr>
        <w:bidi w:val="0"/>
        <w:ind w:firstLine="540"/>
        <w:jc w:val="both"/>
        <w:rPr>
          <w:rFonts w:ascii="Times New Roman" w:hAnsi="Times New Roman"/>
          <w:sz w:val="28"/>
          <w:szCs w:val="28"/>
        </w:rPr>
      </w:pPr>
      <w:r w:rsidRPr="00920FD8">
        <w:rPr>
          <w:rFonts w:ascii="Times New Roman" w:hAnsi="Times New Roman"/>
          <w:sz w:val="28"/>
          <w:szCs w:val="28"/>
        </w:rPr>
        <w:t>Реалізація законопроекту не потребує внесення змін до інших законодавчих актів.</w:t>
      </w:r>
    </w:p>
    <w:p w:rsidR="00FA425F" w:rsidP="00FA425F">
      <w:pPr>
        <w:bidi w:val="0"/>
        <w:spacing w:after="120"/>
        <w:ind w:firstLine="540"/>
        <w:jc w:val="both"/>
        <w:rPr>
          <w:rFonts w:ascii="Times New Roman" w:hAnsi="Times New Roman"/>
          <w:sz w:val="28"/>
          <w:szCs w:val="28"/>
        </w:rPr>
      </w:pPr>
    </w:p>
    <w:p w:rsidR="00F75EDA" w:rsidRPr="00920FD8" w:rsidP="00FA425F">
      <w:pPr>
        <w:bidi w:val="0"/>
        <w:spacing w:after="120"/>
        <w:ind w:firstLine="540"/>
        <w:jc w:val="both"/>
        <w:rPr>
          <w:rFonts w:ascii="Times New Roman" w:hAnsi="Times New Roman"/>
          <w:sz w:val="28"/>
          <w:szCs w:val="28"/>
        </w:rPr>
      </w:pPr>
    </w:p>
    <w:p w:rsidR="00FA425F" w:rsidRPr="00920FD8" w:rsidP="00386F7F">
      <w:pPr>
        <w:numPr>
          <w:numId w:val="1"/>
        </w:numPr>
        <w:bidi w:val="0"/>
        <w:spacing w:after="120"/>
        <w:jc w:val="both"/>
        <w:rPr>
          <w:rFonts w:ascii="Times New Roman" w:hAnsi="Times New Roman"/>
          <w:b/>
          <w:sz w:val="28"/>
          <w:szCs w:val="28"/>
        </w:rPr>
      </w:pPr>
      <w:r w:rsidRPr="00920FD8">
        <w:rPr>
          <w:rFonts w:ascii="Times New Roman" w:hAnsi="Times New Roman"/>
          <w:b/>
          <w:sz w:val="28"/>
          <w:szCs w:val="28"/>
        </w:rPr>
        <w:t>Фінансово-економічне обґрунтування</w:t>
      </w:r>
    </w:p>
    <w:p w:rsidR="00FA425F" w:rsidRPr="00920FD8" w:rsidP="00FA425F">
      <w:pPr>
        <w:bidi w:val="0"/>
        <w:ind w:firstLine="540"/>
        <w:jc w:val="both"/>
        <w:rPr>
          <w:rFonts w:ascii="Times New Roman" w:eastAsia="MS Mincho" w:hAnsi="Times New Roman" w:hint="default"/>
          <w:sz w:val="28"/>
          <w:szCs w:val="28"/>
          <w:lang w:eastAsia="ja-JP"/>
        </w:rPr>
      </w:pPr>
      <w:r w:rsidRPr="00920FD8">
        <w:rPr>
          <w:rFonts w:ascii="Times New Roman" w:eastAsia="MS Mincho" w:hAnsi="Times New Roman" w:hint="default"/>
          <w:sz w:val="28"/>
          <w:szCs w:val="28"/>
          <w:lang w:eastAsia="ja-JP"/>
        </w:rPr>
        <w:t>Реалізація</w:t>
      </w:r>
      <w:r w:rsidRPr="00920FD8">
        <w:rPr>
          <w:rFonts w:ascii="Times New Roman" w:eastAsia="MS Mincho" w:hAnsi="Times New Roman" w:hint="default"/>
          <w:sz w:val="28"/>
          <w:szCs w:val="28"/>
          <w:lang w:eastAsia="ja-JP"/>
        </w:rPr>
        <w:t xml:space="preserve"> проекту</w:t>
      </w:r>
      <w:r w:rsidRPr="00920FD8">
        <w:rPr>
          <w:rFonts w:ascii="Times New Roman" w:eastAsia="MS Mincho" w:hAnsi="Times New Roman" w:hint="default"/>
          <w:sz w:val="28"/>
          <w:szCs w:val="28"/>
          <w:lang w:eastAsia="ja-JP"/>
        </w:rPr>
        <w:t xml:space="preserve"> Закону</w:t>
      </w:r>
      <w:r w:rsidRPr="00920FD8">
        <w:rPr>
          <w:rFonts w:ascii="Times New Roman" w:eastAsia="MS Mincho" w:hAnsi="Times New Roman" w:hint="default"/>
          <w:sz w:val="28"/>
          <w:szCs w:val="28"/>
          <w:lang w:eastAsia="ja-JP"/>
        </w:rPr>
        <w:t xml:space="preserve"> не</w:t>
      </w:r>
      <w:r w:rsidRPr="00920FD8">
        <w:rPr>
          <w:rFonts w:ascii="Times New Roman" w:eastAsia="MS Mincho" w:hAnsi="Times New Roman" w:hint="default"/>
          <w:sz w:val="28"/>
          <w:szCs w:val="28"/>
          <w:lang w:eastAsia="ja-JP"/>
        </w:rPr>
        <w:t xml:space="preserve"> потребує</w:t>
      </w:r>
      <w:r w:rsidRPr="00920FD8">
        <w:rPr>
          <w:rFonts w:ascii="Times New Roman" w:eastAsia="MS Mincho" w:hAnsi="Times New Roman" w:hint="default"/>
          <w:sz w:val="28"/>
          <w:szCs w:val="28"/>
          <w:lang w:eastAsia="ja-JP"/>
        </w:rPr>
        <w:t xml:space="preserve"> дода</w:t>
      </w:r>
      <w:r w:rsidRPr="00920FD8">
        <w:rPr>
          <w:rFonts w:ascii="Times New Roman" w:eastAsia="MS Mincho" w:hAnsi="Times New Roman" w:hint="default"/>
          <w:sz w:val="28"/>
          <w:szCs w:val="28"/>
          <w:lang w:eastAsia="ja-JP"/>
        </w:rPr>
        <w:t>ткових</w:t>
      </w:r>
      <w:r w:rsidRPr="00920FD8">
        <w:rPr>
          <w:rFonts w:ascii="Times New Roman" w:eastAsia="MS Mincho" w:hAnsi="Times New Roman" w:hint="default"/>
          <w:sz w:val="28"/>
          <w:szCs w:val="28"/>
          <w:lang w:eastAsia="ja-JP"/>
        </w:rPr>
        <w:t xml:space="preserve"> витрат</w:t>
      </w:r>
      <w:r w:rsidRPr="00920FD8">
        <w:rPr>
          <w:rFonts w:ascii="Times New Roman" w:eastAsia="MS Mincho" w:hAnsi="Times New Roman" w:hint="default"/>
          <w:sz w:val="28"/>
          <w:szCs w:val="28"/>
          <w:lang w:eastAsia="ja-JP"/>
        </w:rPr>
        <w:t xml:space="preserve"> з</w:t>
      </w:r>
      <w:r w:rsidRPr="00920FD8">
        <w:rPr>
          <w:rFonts w:ascii="Times New Roman" w:eastAsia="MS Mincho" w:hAnsi="Times New Roman" w:hint="default"/>
          <w:sz w:val="28"/>
          <w:szCs w:val="28"/>
          <w:lang w:eastAsia="ja-JP"/>
        </w:rPr>
        <w:t xml:space="preserve"> Державного</w:t>
      </w:r>
      <w:r w:rsidRPr="00920FD8">
        <w:rPr>
          <w:rFonts w:ascii="Times New Roman" w:eastAsia="MS Mincho" w:hAnsi="Times New Roman" w:hint="default"/>
          <w:sz w:val="28"/>
          <w:szCs w:val="28"/>
          <w:lang w:eastAsia="ja-JP"/>
        </w:rPr>
        <w:t xml:space="preserve"> бюджету</w:t>
      </w:r>
      <w:r w:rsidRPr="00920FD8">
        <w:rPr>
          <w:rFonts w:ascii="Times New Roman" w:eastAsia="MS Mincho" w:hAnsi="Times New Roman" w:hint="default"/>
          <w:sz w:val="28"/>
          <w:szCs w:val="28"/>
          <w:lang w:eastAsia="ja-JP"/>
        </w:rPr>
        <w:t xml:space="preserve"> України</w:t>
      </w:r>
      <w:r w:rsidRPr="00920FD8">
        <w:rPr>
          <w:rFonts w:ascii="Times New Roman" w:eastAsia="MS Mincho" w:hAnsi="Times New Roman" w:hint="default"/>
          <w:sz w:val="28"/>
          <w:szCs w:val="28"/>
          <w:lang w:eastAsia="ja-JP"/>
        </w:rPr>
        <w:t xml:space="preserve"> або</w:t>
      </w:r>
      <w:r w:rsidRPr="00920FD8">
        <w:rPr>
          <w:rFonts w:ascii="Times New Roman" w:eastAsia="MS Mincho" w:hAnsi="Times New Roman" w:hint="default"/>
          <w:sz w:val="28"/>
          <w:szCs w:val="28"/>
          <w:lang w:eastAsia="ja-JP"/>
        </w:rPr>
        <w:t xml:space="preserve"> місцевих</w:t>
      </w:r>
      <w:r w:rsidRPr="00920FD8">
        <w:rPr>
          <w:rFonts w:ascii="Times New Roman" w:eastAsia="MS Mincho" w:hAnsi="Times New Roman" w:hint="default"/>
          <w:sz w:val="28"/>
          <w:szCs w:val="28"/>
          <w:lang w:eastAsia="ja-JP"/>
        </w:rPr>
        <w:t xml:space="preserve"> бюджетів.</w:t>
      </w:r>
    </w:p>
    <w:p w:rsidR="00FA425F" w:rsidP="00FA425F">
      <w:pPr>
        <w:bidi w:val="0"/>
        <w:spacing w:after="120"/>
        <w:ind w:firstLine="540"/>
        <w:jc w:val="both"/>
        <w:rPr>
          <w:rFonts w:ascii="Times New Roman" w:hAnsi="Times New Roman"/>
          <w:sz w:val="28"/>
          <w:szCs w:val="28"/>
        </w:rPr>
      </w:pPr>
    </w:p>
    <w:p w:rsidR="00F75EDA" w:rsidRPr="00920FD8" w:rsidP="00FA425F">
      <w:pPr>
        <w:bidi w:val="0"/>
        <w:spacing w:after="120"/>
        <w:ind w:firstLine="540"/>
        <w:jc w:val="both"/>
        <w:rPr>
          <w:rFonts w:ascii="Times New Roman" w:hAnsi="Times New Roman"/>
          <w:sz w:val="28"/>
          <w:szCs w:val="28"/>
        </w:rPr>
      </w:pPr>
    </w:p>
    <w:p w:rsidR="00FA425F" w:rsidRPr="00920FD8" w:rsidP="00386F7F">
      <w:pPr>
        <w:numPr>
          <w:numId w:val="1"/>
        </w:numPr>
        <w:tabs>
          <w:tab w:val="left" w:pos="993"/>
        </w:tabs>
        <w:bidi w:val="0"/>
        <w:spacing w:after="120"/>
        <w:ind w:left="0" w:firstLine="567"/>
        <w:jc w:val="both"/>
        <w:rPr>
          <w:rFonts w:ascii="Times New Roman" w:hAnsi="Times New Roman"/>
          <w:b/>
          <w:sz w:val="28"/>
          <w:szCs w:val="28"/>
        </w:rPr>
      </w:pPr>
      <w:r w:rsidRPr="00920FD8">
        <w:rPr>
          <w:rFonts w:ascii="Times New Roman" w:hAnsi="Times New Roman"/>
          <w:b/>
          <w:sz w:val="28"/>
          <w:szCs w:val="28"/>
        </w:rPr>
        <w:t>Прогноз соціально-економічних та інших наслідків прийняття законопроекту</w:t>
      </w:r>
    </w:p>
    <w:p w:rsidR="00FA425F" w:rsidRPr="00920FD8" w:rsidP="00FA425F">
      <w:pPr>
        <w:pStyle w:val="ListParagraph"/>
        <w:bidi w:val="0"/>
        <w:ind w:left="0" w:firstLine="567"/>
        <w:jc w:val="both"/>
        <w:rPr>
          <w:rFonts w:ascii="Times New Roman" w:hAnsi="Times New Roman"/>
          <w:sz w:val="28"/>
          <w:szCs w:val="28"/>
        </w:rPr>
      </w:pPr>
      <w:r w:rsidRPr="00920FD8">
        <w:rPr>
          <w:rFonts w:ascii="Times New Roman" w:hAnsi="Times New Roman"/>
          <w:sz w:val="28"/>
          <w:szCs w:val="28"/>
        </w:rPr>
        <w:t>Прийняття законопроекту сприятиме зниженню соціальної напруги в суспільстві навколо неоднозначного та такого, що обмежує конституційні права та свободи, законодавчого акту.</w:t>
      </w:r>
    </w:p>
    <w:p w:rsidR="007232FC" w:rsidP="00FA425F">
      <w:pPr>
        <w:pStyle w:val="ListParagraph"/>
        <w:bidi w:val="0"/>
        <w:ind w:left="0" w:firstLine="567"/>
        <w:jc w:val="both"/>
        <w:rPr>
          <w:rFonts w:ascii="Times New Roman" w:hAnsi="Times New Roman"/>
          <w:sz w:val="28"/>
          <w:szCs w:val="28"/>
        </w:rPr>
      </w:pPr>
    </w:p>
    <w:p w:rsidR="00F75EDA" w:rsidP="00FA425F">
      <w:pPr>
        <w:pStyle w:val="ListParagraph"/>
        <w:bidi w:val="0"/>
        <w:ind w:left="0" w:firstLine="567"/>
        <w:jc w:val="both"/>
        <w:rPr>
          <w:rFonts w:ascii="Times New Roman" w:hAnsi="Times New Roman"/>
          <w:sz w:val="28"/>
          <w:szCs w:val="28"/>
        </w:rPr>
      </w:pPr>
    </w:p>
    <w:p w:rsidR="00F75EDA" w:rsidRPr="00920FD8" w:rsidP="00FA425F">
      <w:pPr>
        <w:pStyle w:val="ListParagraph"/>
        <w:bidi w:val="0"/>
        <w:ind w:left="0" w:firstLine="567"/>
        <w:jc w:val="both"/>
        <w:rPr>
          <w:rFonts w:ascii="Times New Roman" w:hAnsi="Times New Roman"/>
          <w:sz w:val="28"/>
          <w:szCs w:val="28"/>
        </w:rPr>
      </w:pPr>
    </w:p>
    <w:p w:rsidR="007232FC" w:rsidP="00386F7F">
      <w:pPr>
        <w:pStyle w:val="ListParagraph"/>
        <w:numPr>
          <w:numId w:val="1"/>
        </w:numPr>
        <w:bidi w:val="0"/>
        <w:jc w:val="both"/>
        <w:outlineLvl w:val="1"/>
        <w:rPr>
          <w:rFonts w:ascii="Times" w:hAnsi="Times"/>
          <w:b/>
          <w:sz w:val="28"/>
          <w:szCs w:val="28"/>
        </w:rPr>
      </w:pPr>
      <w:r w:rsidRPr="00920FD8">
        <w:rPr>
          <w:rFonts w:ascii="Times" w:hAnsi="Times"/>
          <w:b/>
          <w:sz w:val="28"/>
          <w:szCs w:val="28"/>
        </w:rPr>
        <w:t>Запобігання корупції</w:t>
      </w:r>
    </w:p>
    <w:p w:rsidR="00F75EDA" w:rsidRPr="00920FD8" w:rsidP="00F75EDA">
      <w:pPr>
        <w:pStyle w:val="ListParagraph"/>
        <w:bidi w:val="0"/>
        <w:ind w:left="928"/>
        <w:jc w:val="both"/>
        <w:outlineLvl w:val="1"/>
        <w:rPr>
          <w:rFonts w:ascii="Times" w:hAnsi="Times"/>
          <w:b/>
          <w:sz w:val="28"/>
          <w:szCs w:val="28"/>
        </w:rPr>
      </w:pPr>
    </w:p>
    <w:p w:rsidR="007232FC" w:rsidRPr="00920FD8" w:rsidP="002B0FE5">
      <w:pPr>
        <w:bidi w:val="0"/>
        <w:ind w:firstLine="568"/>
        <w:jc w:val="both"/>
        <w:rPr>
          <w:rFonts w:ascii="Times" w:hAnsi="Times"/>
          <w:sz w:val="28"/>
          <w:szCs w:val="28"/>
        </w:rPr>
      </w:pPr>
      <w:r w:rsidRPr="00920FD8">
        <w:rPr>
          <w:rFonts w:ascii="Times" w:hAnsi="Times"/>
          <w:sz w:val="28"/>
          <w:szCs w:val="28"/>
        </w:rPr>
        <w:t>У законопроекті відсутні правила і процедури, які можуть містити ризики вчинення корупційних правопорушень.</w:t>
      </w:r>
    </w:p>
    <w:p w:rsidR="00FA425F" w:rsidP="00FA425F">
      <w:pPr>
        <w:widowControl w:val="0"/>
        <w:autoSpaceDE w:val="0"/>
        <w:autoSpaceDN w:val="0"/>
        <w:bidi w:val="0"/>
        <w:adjustRightInd w:val="0"/>
        <w:ind w:left="1620" w:right="71"/>
        <w:jc w:val="both"/>
        <w:rPr>
          <w:rFonts w:ascii="Times New Roman" w:hAnsi="Times New Roman"/>
          <w:sz w:val="28"/>
          <w:szCs w:val="28"/>
        </w:rPr>
      </w:pPr>
    </w:p>
    <w:p w:rsidR="00AF41B5" w:rsidRPr="00920FD8" w:rsidP="00FA425F">
      <w:pPr>
        <w:widowControl w:val="0"/>
        <w:autoSpaceDE w:val="0"/>
        <w:autoSpaceDN w:val="0"/>
        <w:bidi w:val="0"/>
        <w:adjustRightInd w:val="0"/>
        <w:ind w:left="1620" w:right="71"/>
        <w:jc w:val="both"/>
        <w:rPr>
          <w:rFonts w:ascii="Times New Roman" w:hAnsi="Times New Roman"/>
          <w:sz w:val="28"/>
          <w:szCs w:val="28"/>
        </w:rPr>
      </w:pPr>
    </w:p>
    <w:tbl>
      <w:tblPr>
        <w:tblStyle w:val="TableNormal"/>
        <w:tblW w:w="0" w:type="dxa"/>
        <w:tblLayout w:type="fixed"/>
        <w:tblLook w:val="04A0"/>
      </w:tblPr>
      <w:tblGrid>
        <w:gridCol w:w="4068"/>
        <w:gridCol w:w="2880"/>
        <w:gridCol w:w="2838"/>
      </w:tblGrid>
      <w:tr>
        <w:tblPrEx>
          <w:tblW w:w="0" w:type="dxa"/>
          <w:tblLayout w:type="fixed"/>
          <w:tblLook w:val="04A0"/>
        </w:tblPrEx>
        <w:trPr>
          <w:trHeight w:val="674"/>
        </w:trPr>
        <w:tc>
          <w:tcPr>
            <w:tcW w:w="4068" w:type="dxa"/>
            <w:tcBorders>
              <w:top w:val="none" w:sz="0" w:space="0" w:color="auto"/>
              <w:left w:val="none" w:sz="0" w:space="0" w:color="auto"/>
              <w:bottom w:val="none" w:sz="0" w:space="0" w:color="auto"/>
              <w:right w:val="none" w:sz="0" w:space="0" w:color="auto"/>
            </w:tcBorders>
            <w:textDirection w:val="lrTb"/>
            <w:vAlign w:val="top"/>
          </w:tcPr>
          <w:p w:rsidR="00FA425F" w:rsidRPr="00920FD8">
            <w:pPr>
              <w:pStyle w:val="HTMLPreformatted"/>
              <w:bidi w:val="0"/>
              <w:spacing w:after="0" w:line="240" w:lineRule="auto"/>
              <w:jc w:val="both"/>
              <w:rPr>
                <w:rFonts w:ascii="Times New Roman" w:hAnsi="Times New Roman" w:cs="Times New Roman"/>
                <w:b/>
              </w:rPr>
            </w:pPr>
            <w:r w:rsidR="00F75EDA">
              <w:rPr>
                <w:rFonts w:ascii="Times New Roman" w:hAnsi="Times New Roman" w:cs="Times New Roman"/>
                <w:b/>
              </w:rPr>
              <w:t>Народні</w:t>
            </w:r>
            <w:r w:rsidRPr="00920FD8">
              <w:rPr>
                <w:rFonts w:ascii="Times New Roman" w:hAnsi="Times New Roman" w:cs="Times New Roman"/>
                <w:b/>
              </w:rPr>
              <w:t xml:space="preserve"> депутат</w:t>
            </w:r>
            <w:r w:rsidR="00F75EDA">
              <w:rPr>
                <w:rFonts w:ascii="Times New Roman" w:hAnsi="Times New Roman" w:cs="Times New Roman"/>
                <w:b/>
              </w:rPr>
              <w:t>и</w:t>
            </w:r>
            <w:r w:rsidRPr="00920FD8">
              <w:rPr>
                <w:rFonts w:ascii="Times New Roman" w:hAnsi="Times New Roman" w:cs="Times New Roman"/>
                <w:b/>
              </w:rPr>
              <w:t xml:space="preserve"> України                                                      </w:t>
            </w:r>
          </w:p>
          <w:p w:rsidR="00FA425F" w:rsidRPr="00920FD8">
            <w:pPr>
              <w:pStyle w:val="HTMLPreformatted"/>
              <w:bidi w:val="0"/>
              <w:spacing w:after="0" w:line="240" w:lineRule="auto"/>
              <w:ind w:firstLine="709"/>
              <w:jc w:val="both"/>
              <w:rPr>
                <w:rFonts w:ascii="Times New Roman" w:hAnsi="Times New Roman" w:cs="Times New Roman"/>
                <w:b/>
              </w:rPr>
            </w:pPr>
            <w:r w:rsidRPr="00920FD8">
              <w:rPr>
                <w:rFonts w:ascii="Times New Roman" w:hAnsi="Times New Roman" w:cs="Times New Roman"/>
                <w:b/>
              </w:rPr>
              <w:t xml:space="preserve">                                                                                                </w:t>
            </w:r>
          </w:p>
          <w:p w:rsidR="00FA425F" w:rsidRPr="00920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b/>
                <w:bCs/>
                <w:sz w:val="28"/>
                <w:szCs w:val="28"/>
              </w:rPr>
            </w:pPr>
          </w:p>
        </w:tc>
        <w:tc>
          <w:tcPr>
            <w:tcW w:w="2880" w:type="dxa"/>
            <w:tcBorders>
              <w:top w:val="none" w:sz="0" w:space="0" w:color="auto"/>
              <w:left w:val="none" w:sz="0" w:space="0" w:color="auto"/>
              <w:bottom w:val="none" w:sz="0" w:space="0" w:color="auto"/>
              <w:right w:val="none" w:sz="0" w:space="0" w:color="auto"/>
            </w:tcBorders>
            <w:textDirection w:val="lrTb"/>
            <w:vAlign w:val="top"/>
          </w:tcPr>
          <w:p w:rsidR="00FA425F" w:rsidRPr="00920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sz w:val="28"/>
                <w:szCs w:val="28"/>
              </w:rPr>
            </w:pPr>
          </w:p>
        </w:tc>
        <w:tc>
          <w:tcPr>
            <w:tcW w:w="2838" w:type="dxa"/>
            <w:tcBorders>
              <w:top w:val="none" w:sz="0" w:space="0" w:color="auto"/>
              <w:left w:val="none" w:sz="0" w:space="0" w:color="auto"/>
              <w:bottom w:val="none" w:sz="0" w:space="0" w:color="auto"/>
              <w:right w:val="none" w:sz="0" w:space="0" w:color="auto"/>
            </w:tcBorders>
            <w:textDirection w:val="lrTb"/>
            <w:vAlign w:val="top"/>
            <w:hideMark/>
          </w:tcPr>
          <w:p w:rsidR="00F75E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sz w:val="28"/>
                <w:szCs w:val="28"/>
              </w:rPr>
            </w:pPr>
            <w:r>
              <w:rPr>
                <w:rFonts w:ascii="Times New Roman" w:hAnsi="Times New Roman"/>
                <w:b/>
                <w:sz w:val="28"/>
                <w:szCs w:val="28"/>
              </w:rPr>
              <w:t>Скорик М. Л.</w:t>
            </w:r>
          </w:p>
          <w:p w:rsidR="00F75E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sz w:val="28"/>
                <w:szCs w:val="28"/>
              </w:rPr>
            </w:pPr>
          </w:p>
          <w:p w:rsidR="00F75E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sz w:val="28"/>
                <w:szCs w:val="28"/>
              </w:rPr>
            </w:pPr>
            <w:r>
              <w:rPr>
                <w:rFonts w:ascii="Times New Roman" w:hAnsi="Times New Roman"/>
                <w:b/>
                <w:sz w:val="28"/>
                <w:szCs w:val="28"/>
              </w:rPr>
              <w:t>Ватрас В. А.</w:t>
            </w:r>
          </w:p>
          <w:p w:rsidR="00F75E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sz w:val="28"/>
                <w:szCs w:val="28"/>
              </w:rPr>
            </w:pPr>
          </w:p>
          <w:p w:rsidR="00F75E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sz w:val="28"/>
                <w:szCs w:val="28"/>
              </w:rPr>
            </w:pPr>
            <w:r>
              <w:rPr>
                <w:rFonts w:ascii="Times New Roman" w:hAnsi="Times New Roman"/>
                <w:b/>
                <w:sz w:val="28"/>
                <w:szCs w:val="28"/>
              </w:rPr>
              <w:t>Аліксійчук О. В.</w:t>
            </w:r>
          </w:p>
          <w:p w:rsidR="00F75E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sz w:val="28"/>
                <w:szCs w:val="28"/>
              </w:rPr>
            </w:pPr>
          </w:p>
          <w:p w:rsidR="00FA425F" w:rsidRPr="00920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right="48"/>
              <w:rPr>
                <w:rFonts w:ascii="Times New Roman" w:hAnsi="Times New Roman"/>
                <w:b/>
                <w:bCs/>
                <w:i/>
                <w:sz w:val="28"/>
                <w:szCs w:val="28"/>
              </w:rPr>
            </w:pPr>
            <w:r w:rsidRPr="00920FD8" w:rsidR="007232FC">
              <w:rPr>
                <w:rFonts w:ascii="Times New Roman" w:hAnsi="Times New Roman"/>
                <w:b/>
                <w:sz w:val="28"/>
                <w:szCs w:val="28"/>
              </w:rPr>
              <w:t>Тарасенко</w:t>
            </w:r>
            <w:r w:rsidR="00F75EDA">
              <w:rPr>
                <w:rFonts w:ascii="Times New Roman" w:hAnsi="Times New Roman"/>
                <w:b/>
                <w:sz w:val="28"/>
                <w:szCs w:val="28"/>
              </w:rPr>
              <w:t xml:space="preserve"> Т. П.</w:t>
            </w:r>
            <w:r w:rsidRPr="00920FD8">
              <w:rPr>
                <w:rFonts w:ascii="Times New Roman" w:hAnsi="Times New Roman"/>
                <w:b/>
                <w:sz w:val="28"/>
                <w:szCs w:val="28"/>
              </w:rPr>
              <w:t xml:space="preserve"> </w:t>
            </w:r>
          </w:p>
        </w:tc>
      </w:tr>
    </w:tbl>
    <w:p w:rsidR="004F3F3F" w:rsidRPr="00920FD8">
      <w:pPr>
        <w:bidi w:val="0"/>
        <w:rPr>
          <w:rFonts w:ascii="Times New Roman" w:hAnsi="Times New Roman"/>
        </w:rPr>
      </w:pPr>
    </w:p>
    <w:sectPr>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S Mincho">
    <w:altName w:val="Yu Gothic UI"/>
    <w:panose1 w:val="02020609040205080304"/>
    <w:charset w:val="80"/>
    <w:family w:val="modern"/>
    <w:pitch w:val="fixed"/>
    <w:sig w:usb0="00000000" w:usb1="00000000" w:usb2="00000000" w:usb3="00000000" w:csb0="0002009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Consolas">
    <w:panose1 w:val="020B0609020204030204"/>
    <w:charset w:val="CC"/>
    <w:family w:val="modern"/>
    <w:pitch w:val="fixed"/>
    <w:sig w:usb0="00000000" w:usb1="00000000" w:usb2="00000000" w:usb3="00000000" w:csb0="0000019F" w:csb1="00000000"/>
  </w:font>
  <w:font w:name="@MS Mincho">
    <w:panose1 w:val="02020609040205080304"/>
    <w:charset w:val="80"/>
    <w:family w:val="modern"/>
    <w:pitch w:val="fixed"/>
    <w:sig w:usb0="00000000" w:usb1="00000000" w:usb2="00000000" w:usb3="00000000" w:csb0="0002009F" w:csb1="00000000"/>
  </w:font>
  <w:font w:name="Cambria">
    <w:panose1 w:val="02040503050406030204"/>
    <w:charset w:val="CC"/>
    <w:family w:val="roman"/>
    <w:pitch w:val="variable"/>
    <w:sig w:usb0="00000000" w:usb1="00000000" w:usb2="00000000" w:usb3="00000000" w:csb0="0000019F" w:csb1="00000000"/>
  </w:font>
  <w:font w:name="Times">
    <w:panose1 w:val="00000000000000000000"/>
    <w:charset w:val="CC"/>
    <w:family w:val="roman"/>
    <w:pitch w:val="variable"/>
    <w:sig w:usb0="00000000" w:usb1="00000000" w:usb2="00000000" w:usb3="00000000" w:csb0="000001FF" w:csb1="00000000"/>
  </w:font>
  <w:font w:name="Calibri Light">
    <w:panose1 w:val="020F03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863D5"/>
    <w:multiLevelType w:val="hybridMultilevel"/>
    <w:tmpl w:val="3CDC3F28"/>
    <w:lvl w:ilvl="0">
      <w:start w:val="1"/>
      <w:numFmt w:val="decimal"/>
      <w:lvlText w:val="%1."/>
      <w:lvlJc w:val="left"/>
      <w:pPr>
        <w:ind w:left="1068" w:hanging="360"/>
      </w:pPr>
      <w:rPr>
        <w:rFonts w:cs="Times New Roman" w:hint="default"/>
        <w:rtl w:val="0"/>
        <w:cs w:val="0"/>
      </w:rPr>
    </w:lvl>
    <w:lvl w:ilvl="1">
      <w:start w:val="1"/>
      <w:numFmt w:val="lowerLetter"/>
      <w:lvlText w:val="%2."/>
      <w:lvlJc w:val="left"/>
      <w:pPr>
        <w:ind w:left="1788" w:hanging="360"/>
      </w:pPr>
      <w:rPr>
        <w:rFonts w:cs="Times New Roman"/>
        <w:rtl w:val="0"/>
        <w:cs w:val="0"/>
      </w:rPr>
    </w:lvl>
    <w:lvl w:ilvl="2">
      <w:start w:val="1"/>
      <w:numFmt w:val="lowerRoman"/>
      <w:lvlText w:val="%3."/>
      <w:lvlJc w:val="right"/>
      <w:pPr>
        <w:ind w:left="2508" w:hanging="180"/>
      </w:pPr>
      <w:rPr>
        <w:rFonts w:cs="Times New Roman"/>
        <w:rtl w:val="0"/>
        <w:cs w:val="0"/>
      </w:rPr>
    </w:lvl>
    <w:lvl w:ilvl="3">
      <w:start w:val="1"/>
      <w:numFmt w:val="decimal"/>
      <w:lvlText w:val="%4."/>
      <w:lvlJc w:val="left"/>
      <w:pPr>
        <w:ind w:left="3228" w:hanging="360"/>
      </w:pPr>
      <w:rPr>
        <w:rFonts w:cs="Times New Roman"/>
        <w:rtl w:val="0"/>
        <w:cs w:val="0"/>
      </w:rPr>
    </w:lvl>
    <w:lvl w:ilvl="4">
      <w:start w:val="1"/>
      <w:numFmt w:val="lowerLetter"/>
      <w:lvlText w:val="%5."/>
      <w:lvlJc w:val="left"/>
      <w:pPr>
        <w:ind w:left="3948" w:hanging="360"/>
      </w:pPr>
      <w:rPr>
        <w:rFonts w:cs="Times New Roman"/>
        <w:rtl w:val="0"/>
        <w:cs w:val="0"/>
      </w:rPr>
    </w:lvl>
    <w:lvl w:ilvl="5">
      <w:start w:val="1"/>
      <w:numFmt w:val="lowerRoman"/>
      <w:lvlText w:val="%6."/>
      <w:lvlJc w:val="right"/>
      <w:pPr>
        <w:ind w:left="4668" w:hanging="180"/>
      </w:pPr>
      <w:rPr>
        <w:rFonts w:cs="Times New Roman"/>
        <w:rtl w:val="0"/>
        <w:cs w:val="0"/>
      </w:rPr>
    </w:lvl>
    <w:lvl w:ilvl="6">
      <w:start w:val="1"/>
      <w:numFmt w:val="decimal"/>
      <w:lvlText w:val="%7."/>
      <w:lvlJc w:val="left"/>
      <w:pPr>
        <w:ind w:left="5388" w:hanging="360"/>
      </w:pPr>
      <w:rPr>
        <w:rFonts w:cs="Times New Roman"/>
        <w:rtl w:val="0"/>
        <w:cs w:val="0"/>
      </w:rPr>
    </w:lvl>
    <w:lvl w:ilvl="7">
      <w:start w:val="1"/>
      <w:numFmt w:val="lowerLetter"/>
      <w:lvlText w:val="%8."/>
      <w:lvlJc w:val="left"/>
      <w:pPr>
        <w:ind w:left="6108" w:hanging="360"/>
      </w:pPr>
      <w:rPr>
        <w:rFonts w:cs="Times New Roman"/>
        <w:rtl w:val="0"/>
        <w:cs w:val="0"/>
      </w:rPr>
    </w:lvl>
    <w:lvl w:ilvl="8">
      <w:start w:val="1"/>
      <w:numFmt w:val="lowerRoman"/>
      <w:lvlText w:val="%9."/>
      <w:lvlJc w:val="right"/>
      <w:pPr>
        <w:ind w:left="6828" w:hanging="180"/>
      </w:pPr>
      <w:rPr>
        <w:rFonts w:cs="Times New Roman"/>
        <w:rtl w:val="0"/>
        <w:cs w:val="0"/>
      </w:rPr>
    </w:lvl>
  </w:abstractNum>
  <w:abstractNum w:abstractNumId="1">
    <w:nsid w:val="2EBD3502"/>
    <w:multiLevelType w:val="hybridMultilevel"/>
    <w:tmpl w:val="9CCA7B2E"/>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4FF7031E"/>
    <w:multiLevelType w:val="hybridMultilevel"/>
    <w:tmpl w:val="0B3E8CB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74164C9D"/>
    <w:multiLevelType w:val="hybridMultilevel"/>
    <w:tmpl w:val="A9DA9DA2"/>
    <w:lvl w:ilvl="0">
      <w:start w:val="1"/>
      <w:numFmt w:val="decimal"/>
      <w:lvlText w:val="%1."/>
      <w:lvlJc w:val="left"/>
      <w:pPr>
        <w:tabs>
          <w:tab w:val="num" w:pos="928"/>
        </w:tabs>
        <w:ind w:left="928"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FA425F"/>
    <w:rsid w:val="00016940"/>
    <w:rsid w:val="000345B8"/>
    <w:rsid w:val="0017321B"/>
    <w:rsid w:val="002369B4"/>
    <w:rsid w:val="002419CF"/>
    <w:rsid w:val="002A6E22"/>
    <w:rsid w:val="002B0FE5"/>
    <w:rsid w:val="0030040C"/>
    <w:rsid w:val="003332E2"/>
    <w:rsid w:val="00386F7F"/>
    <w:rsid w:val="004065FB"/>
    <w:rsid w:val="004D2D7D"/>
    <w:rsid w:val="004F3F3F"/>
    <w:rsid w:val="00560CBC"/>
    <w:rsid w:val="00594C02"/>
    <w:rsid w:val="005E70C2"/>
    <w:rsid w:val="00695CC2"/>
    <w:rsid w:val="006F27E3"/>
    <w:rsid w:val="007232FC"/>
    <w:rsid w:val="0078523B"/>
    <w:rsid w:val="00804C23"/>
    <w:rsid w:val="008E2D79"/>
    <w:rsid w:val="00920FD8"/>
    <w:rsid w:val="00956C4F"/>
    <w:rsid w:val="00974DB7"/>
    <w:rsid w:val="00A177F2"/>
    <w:rsid w:val="00AB0128"/>
    <w:rsid w:val="00AF41B5"/>
    <w:rsid w:val="00B01DE3"/>
    <w:rsid w:val="00B237E7"/>
    <w:rsid w:val="00B5253A"/>
    <w:rsid w:val="00B86560"/>
    <w:rsid w:val="00D24547"/>
    <w:rsid w:val="00D433B6"/>
    <w:rsid w:val="00D90483"/>
    <w:rsid w:val="00DF1730"/>
    <w:rsid w:val="00E15B01"/>
    <w:rsid w:val="00E25CE3"/>
    <w:rsid w:val="00F75EDA"/>
    <w:rsid w:val="00F92C24"/>
    <w:rsid w:val="00FA425F"/>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25F"/>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paragraph" w:styleId="Heading1">
    <w:name w:val="heading 1"/>
    <w:basedOn w:val="Normal"/>
    <w:next w:val="Normal"/>
    <w:link w:val="1"/>
    <w:uiPriority w:val="99"/>
    <w:qFormat/>
    <w:rsid w:val="00FA425F"/>
    <w:pPr>
      <w:keepNext/>
      <w:spacing w:before="240" w:after="60"/>
      <w:jc w:val="left"/>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FA425F"/>
    <w:rPr>
      <w:rFonts w:ascii="Cambria" w:hAnsi="Cambria" w:cs="Times New Roman"/>
      <w:b/>
      <w:bCs/>
      <w:kern w:val="32"/>
      <w:sz w:val="32"/>
      <w:szCs w:val="32"/>
      <w:rtl w:val="0"/>
      <w:cs w:val="0"/>
      <w:lang w:val="x-none" w:eastAsia="ru-RU"/>
    </w:rPr>
  </w:style>
  <w:style w:type="character" w:customStyle="1" w:styleId="HTML2">
    <w:name w:val="Стандартний HTML Знак2"/>
    <w:aliases w:val="Знак Знак Знак Знак Знак Знак Знак Знак Знак,Знак Знак Знак Знак Знак Знак Знак Знак Знак Знак Знак Знак Знак Знак,Знак Знак1 Знак,Знак Знак14 Знак,Знак2 Знак,Стандартный HTML1 Знак"/>
    <w:basedOn w:val="DefaultParagraphFont"/>
    <w:link w:val="HTMLPreformatted"/>
    <w:uiPriority w:val="99"/>
    <w:semiHidden/>
    <w:locked/>
    <w:rsid w:val="00FA425F"/>
    <w:rPr>
      <w:rFonts w:ascii="Courier New" w:hAnsi="Courier New" w:cs="Courier New"/>
      <w:rtl w:val="0"/>
      <w:cs w:val="0"/>
    </w:rPr>
  </w:style>
  <w:style w:type="paragraph" w:styleId="HTMLPreformatted">
    <w:name w:val="HTML Preformatted"/>
    <w:aliases w:val="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Знак Знак1,Знак Знак14,Знак2,Стандартный HTML1"/>
    <w:basedOn w:val="Normal"/>
    <w:link w:val="HTML2"/>
    <w:uiPriority w:val="99"/>
    <w:semiHidden/>
    <w:unhideWhenUsed/>
    <w:rsid w:val="00FA4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8"/>
      <w:szCs w:val="28"/>
      <w:lang w:eastAsia="en-US"/>
    </w:rPr>
  </w:style>
  <w:style w:type="character" w:customStyle="1" w:styleId="HTML">
    <w:name w:val="Стандартний HTML Знак"/>
    <w:aliases w:val="Знак Знак Знак Знак Знак Знак Знак Знак Знак Знак Знак Знак Знак Знак1,Знак Знак Знак Знак Знак Знак Знак Знак Знак1,Знак Знак1 Знак1,Знак Знак14 Знак1,Знак2 Знак1,Стандартный HTML1 Знак1"/>
    <w:basedOn w:val="DefaultParagraphFont"/>
    <w:uiPriority w:val="99"/>
    <w:semiHidden/>
    <w:rPr>
      <w:rFonts w:ascii="Courier New" w:hAnsi="Courier New" w:cs="Courier New"/>
      <w:sz w:val="20"/>
      <w:szCs w:val="20"/>
      <w:rtl w:val="0"/>
      <w:cs w:val="0"/>
      <w:lang w:val="x-none" w:eastAsia="ru-RU"/>
    </w:rPr>
  </w:style>
  <w:style w:type="character" w:customStyle="1" w:styleId="HTML8">
    <w:name w:val="Стандартний HTML Знак8"/>
    <w:aliases w:val="Знак Знак Знак Знак Знак Знак Знак Знак Знак Знак Знак Знак Знак Знак18,Знак Знак Знак Знак Знак Знак Знак Знак Знак18,Знак Знак1 Знак18,Знак Знак14 Знак18,Знак2 Знак18,Стандартный HTML1 Знак18"/>
    <w:basedOn w:val="DefaultParagraphFont"/>
    <w:uiPriority w:val="99"/>
    <w:semiHidden/>
    <w:rPr>
      <w:rFonts w:ascii="Courier New" w:hAnsi="Courier New" w:cs="Courier New"/>
      <w:sz w:val="20"/>
      <w:szCs w:val="20"/>
      <w:rtl w:val="0"/>
      <w:cs w:val="0"/>
      <w:lang w:val="x-none" w:eastAsia="ru-RU"/>
    </w:rPr>
  </w:style>
  <w:style w:type="character" w:customStyle="1" w:styleId="HTML7">
    <w:name w:val="Стандартний HTML Знак7"/>
    <w:aliases w:val="Знак Знак Знак Знак Знак Знак Знак Знак Знак Знак Знак Знак Знак Знак17,Знак Знак Знак Знак Знак Знак Знак Знак Знак17,Знак Знак1 Знак17,Знак Знак14 Знак17,Знак2 Знак17,Стандартный HTML1 Знак17"/>
    <w:basedOn w:val="DefaultParagraphFont"/>
    <w:uiPriority w:val="99"/>
    <w:semiHidden/>
    <w:rPr>
      <w:rFonts w:ascii="Courier New" w:hAnsi="Courier New" w:cs="Courier New"/>
      <w:sz w:val="20"/>
      <w:szCs w:val="20"/>
      <w:rtl w:val="0"/>
      <w:cs w:val="0"/>
      <w:lang w:val="x-none" w:eastAsia="ru-RU"/>
    </w:rPr>
  </w:style>
  <w:style w:type="character" w:customStyle="1" w:styleId="HTML6">
    <w:name w:val="Стандартний HTML Знак6"/>
    <w:aliases w:val="Знак Знак Знак Знак Знак Знак Знак Знак Знак Знак Знак Знак Знак Знак16,Знак Знак Знак Знак Знак Знак Знак Знак Знак16,Знак Знак1 Знак16,Знак Знак14 Знак16,Знак2 Знак16,Стандартный HTML1 Знак16"/>
    <w:basedOn w:val="DefaultParagraphFont"/>
    <w:uiPriority w:val="99"/>
    <w:semiHidden/>
    <w:rPr>
      <w:rFonts w:ascii="Courier New" w:hAnsi="Courier New" w:cs="Courier New"/>
      <w:sz w:val="20"/>
      <w:szCs w:val="20"/>
      <w:rtl w:val="0"/>
      <w:cs w:val="0"/>
      <w:lang w:val="x-none" w:eastAsia="ru-RU"/>
    </w:rPr>
  </w:style>
  <w:style w:type="character" w:customStyle="1" w:styleId="HTML5">
    <w:name w:val="Стандартний HTML Знак5"/>
    <w:aliases w:val="Знак Знак Знак Знак Знак Знак Знак Знак Знак Знак Знак Знак Знак Знак15,Знак Знак Знак Знак Знак Знак Знак Знак Знак15,Знак Знак1 Знак15,Знак Знак14 Знак15,Знак2 Знак15,Стандартный HTML1 Знак15"/>
    <w:basedOn w:val="DefaultParagraphFont"/>
    <w:uiPriority w:val="99"/>
    <w:semiHidden/>
    <w:rPr>
      <w:rFonts w:ascii="Courier New" w:hAnsi="Courier New" w:cs="Courier New"/>
      <w:sz w:val="20"/>
      <w:szCs w:val="20"/>
      <w:rtl w:val="0"/>
      <w:cs w:val="0"/>
      <w:lang w:val="x-none" w:eastAsia="ru-RU"/>
    </w:rPr>
  </w:style>
  <w:style w:type="character" w:customStyle="1" w:styleId="HTML4">
    <w:name w:val="Стандартний HTML Знак4"/>
    <w:aliases w:val="Знак Знак Знак Знак Знак Знак Знак Знак Знак Знак Знак Знак Знак Знак14,Знак Знак Знак Знак Знак Знак Знак Знак Знак14,Знак Знак1 Знак14,Знак Знак14 Знак14,Знак2 Знак14,Стандартный HTML1 Знак14"/>
    <w:basedOn w:val="DefaultParagraphFont"/>
    <w:uiPriority w:val="99"/>
    <w:semiHidden/>
    <w:rPr>
      <w:rFonts w:ascii="Courier New" w:hAnsi="Courier New" w:cs="Courier New"/>
      <w:sz w:val="20"/>
      <w:szCs w:val="20"/>
      <w:rtl w:val="0"/>
      <w:cs w:val="0"/>
      <w:lang w:val="x-none" w:eastAsia="ru-RU"/>
    </w:rPr>
  </w:style>
  <w:style w:type="character" w:customStyle="1" w:styleId="HTML3">
    <w:name w:val="Стандартний HTML Знак3"/>
    <w:aliases w:val="Знак Знак Знак Знак Знак Знак Знак Знак Знак Знак Знак Знак Знак Знак13,Знак Знак Знак Знак Знак Знак Знак Знак Знак13,Знак Знак1 Знак13,Знак Знак14 Знак13,Знак2 Знак13,Стандартный HTML1 Знак13"/>
    <w:basedOn w:val="DefaultParagraphFont"/>
    <w:uiPriority w:val="99"/>
    <w:semiHidden/>
    <w:rPr>
      <w:rFonts w:ascii="Courier New" w:hAnsi="Courier New" w:cs="Courier New"/>
      <w:sz w:val="20"/>
      <w:szCs w:val="20"/>
      <w:rtl w:val="0"/>
      <w:cs w:val="0"/>
      <w:lang w:val="x-none" w:eastAsia="ru-RU"/>
    </w:rPr>
  </w:style>
  <w:style w:type="character" w:customStyle="1" w:styleId="HTML0">
    <w:name w:val="Стандартный HTML Знак"/>
    <w:aliases w:val="Знак Знак Знак Знак Знак Знак Знак Знак Знак Знак Знак Знак Знак Знак12,Знак Знак Знак Знак Знак Знак Знак Знак Знак12,Знак Знак1 Знак12,Знак Знак14 Знак12,Знак2 Знак12,Стандартный HTML1 Знак12"/>
    <w:basedOn w:val="DefaultParagraphFont"/>
    <w:uiPriority w:val="99"/>
    <w:semiHidden/>
    <w:rPr>
      <w:rFonts w:ascii="Courier New" w:hAnsi="Courier New" w:cs="Courier New"/>
      <w:sz w:val="20"/>
      <w:szCs w:val="20"/>
      <w:rtl w:val="0"/>
      <w:cs w:val="0"/>
      <w:lang w:val="x-none" w:eastAsia="ru-RU"/>
    </w:rPr>
  </w:style>
  <w:style w:type="character" w:customStyle="1" w:styleId="HTML22">
    <w:name w:val="Стандартный HTML Знак2"/>
    <w:aliases w:val="Знак Знак Знак Знак Знак Знак Знак Знак Знак Знак Знак Знак Знак Знак11,Знак Знак Знак Знак Знак Знак Знак Знак Знак11,Знак Знак1 Знак11,Знак Знак14 Знак11,Знак2 Знак11,Стандартный HTML1 Знак11"/>
    <w:basedOn w:val="DefaultParagraphFont"/>
    <w:uiPriority w:val="99"/>
    <w:semiHidden/>
    <w:rPr>
      <w:rFonts w:ascii="Courier New" w:hAnsi="Courier New" w:cs="Courier New"/>
      <w:sz w:val="20"/>
      <w:szCs w:val="20"/>
      <w:rtl w:val="0"/>
      <w:cs w:val="0"/>
      <w:lang w:val="x-none" w:eastAsia="ru-RU"/>
    </w:rPr>
  </w:style>
  <w:style w:type="character" w:customStyle="1" w:styleId="HTML12">
    <w:name w:val="Стандартний HTML Знак1"/>
    <w:basedOn w:val="DefaultParagraphFont"/>
    <w:uiPriority w:val="99"/>
    <w:semiHidden/>
    <w:rsid w:val="00FA425F"/>
    <w:rPr>
      <w:rFonts w:ascii="Consolas" w:hAnsi="Consolas" w:cs="Times New Roman"/>
      <w:sz w:val="20"/>
      <w:szCs w:val="20"/>
      <w:rtl w:val="0"/>
      <w:cs w:val="0"/>
      <w:lang w:val="x-none" w:eastAsia="ru-RU"/>
    </w:rPr>
  </w:style>
  <w:style w:type="paragraph" w:styleId="NormalWeb">
    <w:name w:val="Normal (Web)"/>
    <w:basedOn w:val="Normal"/>
    <w:uiPriority w:val="99"/>
    <w:semiHidden/>
    <w:unhideWhenUsed/>
    <w:rsid w:val="00FA425F"/>
    <w:pPr>
      <w:spacing w:before="100" w:beforeAutospacing="1" w:after="100" w:afterAutospacing="1"/>
      <w:jc w:val="left"/>
    </w:pPr>
    <w:rPr>
      <w:lang w:val="ru-RU"/>
    </w:rPr>
  </w:style>
  <w:style w:type="paragraph" w:styleId="ListParagraph">
    <w:name w:val="List Paragraph"/>
    <w:basedOn w:val="Normal"/>
    <w:uiPriority w:val="99"/>
    <w:qFormat/>
    <w:rsid w:val="00FA425F"/>
    <w:pPr>
      <w:ind w:left="720"/>
      <w:contextualSpacing/>
      <w:jc w:val="left"/>
    </w:pPr>
  </w:style>
  <w:style w:type="paragraph" w:customStyle="1" w:styleId="rvps2">
    <w:name w:val="rvps2"/>
    <w:basedOn w:val="Normal"/>
    <w:uiPriority w:val="99"/>
    <w:rsid w:val="00FA425F"/>
    <w:pPr>
      <w:spacing w:before="100" w:beforeAutospacing="1" w:after="100" w:afterAutospacing="1"/>
      <w:jc w:val="left"/>
    </w:pPr>
    <w:rPr>
      <w:lang w:val="ru-RU"/>
    </w:rPr>
  </w:style>
  <w:style w:type="character" w:customStyle="1" w:styleId="rvts44">
    <w:name w:val="rvts44"/>
    <w:rsid w:val="00FA425F"/>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4</TotalTime>
  <Pages>4</Pages>
  <Words>4922</Words>
  <Characters>2807</Characters>
  <Application>Microsoft Office Word</Application>
  <DocSecurity>0</DocSecurity>
  <Lines>0</Lines>
  <Paragraphs>0</Paragraphs>
  <ScaleCrop>false</ScaleCrop>
  <Company/>
  <LinksUpToDate>false</LinksUpToDate>
  <CharactersWithSpaces>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Скорик Микола Леонідович</dc:creator>
  <cp:lastModifiedBy>Тарасенко Тарас Петрович</cp:lastModifiedBy>
  <cp:revision>3</cp:revision>
  <dcterms:created xsi:type="dcterms:W3CDTF">2019-10-17T10:43:00Z</dcterms:created>
  <dcterms:modified xsi:type="dcterms:W3CDTF">2019-10-17T10:59:00Z</dcterms:modified>
</cp:coreProperties>
</file>