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4D" w:rsidRPr="002A7CCB" w:rsidRDefault="00F87A4D" w:rsidP="008F156B">
      <w:pPr>
        <w:spacing w:after="0" w:line="240" w:lineRule="auto"/>
        <w:jc w:val="center"/>
        <w:rPr>
          <w:rFonts w:ascii="Times New Roman" w:hAnsi="Times New Roman"/>
          <w:b/>
          <w:bCs/>
          <w:sz w:val="28"/>
          <w:szCs w:val="28"/>
          <w:lang w:val="uk-UA"/>
        </w:rPr>
      </w:pPr>
      <w:bookmarkStart w:id="0" w:name="_GoBack"/>
      <w:bookmarkEnd w:id="0"/>
      <w:r w:rsidRPr="002A7CCB">
        <w:rPr>
          <w:rFonts w:ascii="Times New Roman" w:hAnsi="Times New Roman"/>
          <w:b/>
          <w:bCs/>
          <w:sz w:val="28"/>
          <w:szCs w:val="28"/>
          <w:lang w:val="uk-UA"/>
        </w:rPr>
        <w:t>ПОРІВНЯЛЬНА ТАБЛИЦЯ</w:t>
      </w:r>
    </w:p>
    <w:p w:rsidR="00F87A4D" w:rsidRPr="00991104" w:rsidRDefault="00F87A4D" w:rsidP="008F156B">
      <w:pPr>
        <w:spacing w:after="0" w:line="240" w:lineRule="auto"/>
        <w:jc w:val="center"/>
        <w:rPr>
          <w:rFonts w:ascii="Times New Roman" w:hAnsi="Times New Roman"/>
          <w:b/>
          <w:sz w:val="28"/>
          <w:szCs w:val="28"/>
          <w:lang w:eastAsia="uk-UA"/>
        </w:rPr>
      </w:pPr>
      <w:r w:rsidRPr="00991104">
        <w:rPr>
          <w:rFonts w:ascii="Times New Roman" w:hAnsi="Times New Roman"/>
          <w:b/>
          <w:bCs/>
          <w:color w:val="000000"/>
          <w:sz w:val="28"/>
          <w:szCs w:val="28"/>
          <w:lang w:val="uk-UA" w:eastAsia="ru-RU"/>
        </w:rPr>
        <w:t xml:space="preserve">до проекту Закону України </w:t>
      </w:r>
      <w:r w:rsidRPr="00991104">
        <w:rPr>
          <w:rFonts w:ascii="Times New Roman" w:hAnsi="Times New Roman"/>
          <w:b/>
          <w:sz w:val="28"/>
          <w:szCs w:val="28"/>
          <w:lang w:val="uk-UA" w:eastAsia="uk-UA"/>
        </w:rPr>
        <w:t xml:space="preserve"> </w:t>
      </w:r>
      <w:r w:rsidR="002A7CCB" w:rsidRPr="00991104">
        <w:rPr>
          <w:rFonts w:ascii="Times New Roman" w:hAnsi="Times New Roman"/>
          <w:b/>
          <w:sz w:val="28"/>
          <w:szCs w:val="28"/>
          <w:lang w:val="uk-UA" w:eastAsia="uk-UA"/>
        </w:rPr>
        <w:t>«Про внесення зміни до</w:t>
      </w:r>
      <w:r w:rsidR="00991104" w:rsidRPr="00991104">
        <w:rPr>
          <w:rFonts w:ascii="Times New Roman" w:hAnsi="Times New Roman"/>
          <w:b/>
          <w:sz w:val="28"/>
          <w:szCs w:val="28"/>
          <w:lang w:val="uk-UA" w:eastAsia="uk-UA"/>
        </w:rPr>
        <w:t xml:space="preserve"> статті 151</w:t>
      </w:r>
      <w:r w:rsidR="002A7CCB" w:rsidRPr="00991104">
        <w:rPr>
          <w:rFonts w:ascii="Times New Roman" w:hAnsi="Times New Roman"/>
          <w:b/>
          <w:sz w:val="28"/>
          <w:szCs w:val="28"/>
          <w:lang w:val="uk-UA" w:eastAsia="uk-UA"/>
        </w:rPr>
        <w:t xml:space="preserve"> Кодексу адміністративного судочинства України</w:t>
      </w:r>
      <w:r w:rsidR="00991104" w:rsidRPr="00991104">
        <w:rPr>
          <w:rFonts w:ascii="Times New Roman" w:hAnsi="Times New Roman"/>
          <w:b/>
          <w:sz w:val="28"/>
          <w:szCs w:val="28"/>
          <w:lang w:val="uk-UA" w:eastAsia="uk-UA"/>
        </w:rPr>
        <w:t xml:space="preserve"> (щодо можливості вжиття судом заходів забезпечення позову)»</w:t>
      </w:r>
      <w:r w:rsidR="00B92D1C" w:rsidRPr="00991104">
        <w:rPr>
          <w:rFonts w:ascii="Times New Roman" w:hAnsi="Times New Roman"/>
          <w:b/>
          <w:sz w:val="28"/>
          <w:szCs w:val="28"/>
          <w:lang w:val="uk-UA" w:eastAsia="uk-UA"/>
        </w:rPr>
        <w:t xml:space="preserve"> </w:t>
      </w:r>
    </w:p>
    <w:p w:rsidR="00991104" w:rsidRDefault="00991104" w:rsidP="008F156B">
      <w:pPr>
        <w:spacing w:after="0" w:line="240" w:lineRule="auto"/>
        <w:jc w:val="center"/>
        <w:rPr>
          <w:rFonts w:ascii="Times New Roman" w:hAnsi="Times New Roman"/>
          <w:sz w:val="28"/>
          <w:szCs w:val="28"/>
          <w:lang w:val="uk-UA" w:eastAsia="uk-UA"/>
        </w:rPr>
      </w:pPr>
    </w:p>
    <w:tbl>
      <w:tblPr>
        <w:tblW w:w="143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086"/>
        <w:gridCol w:w="92"/>
        <w:gridCol w:w="7134"/>
      </w:tblGrid>
      <w:tr w:rsidR="00F87A4D" w:rsidRPr="002A7CCB" w:rsidTr="00B92D1C">
        <w:trPr>
          <w:trHeight w:val="315"/>
        </w:trPr>
        <w:tc>
          <w:tcPr>
            <w:tcW w:w="7086" w:type="dxa"/>
            <w:tcMar>
              <w:top w:w="30" w:type="dxa"/>
              <w:left w:w="45" w:type="dxa"/>
              <w:bottom w:w="30" w:type="dxa"/>
              <w:right w:w="45" w:type="dxa"/>
            </w:tcMar>
          </w:tcPr>
          <w:p w:rsidR="00F87A4D" w:rsidRPr="002A7CCB" w:rsidRDefault="00F87A4D" w:rsidP="007F0649">
            <w:pPr>
              <w:spacing w:after="0" w:line="240" w:lineRule="auto"/>
              <w:jc w:val="center"/>
              <w:rPr>
                <w:rFonts w:ascii="Times New Roman" w:hAnsi="Times New Roman"/>
                <w:b/>
                <w:bCs/>
                <w:sz w:val="28"/>
                <w:szCs w:val="28"/>
                <w:lang w:val="uk-UA" w:eastAsia="ru-RU"/>
              </w:rPr>
            </w:pPr>
            <w:r w:rsidRPr="002A7CCB">
              <w:rPr>
                <w:rFonts w:ascii="Times New Roman" w:hAnsi="Times New Roman"/>
                <w:b/>
                <w:color w:val="000000"/>
                <w:sz w:val="28"/>
                <w:szCs w:val="28"/>
                <w:lang w:val="uk-UA"/>
              </w:rPr>
              <w:t>Зміст положення (норми) чинного законодавства</w:t>
            </w:r>
          </w:p>
        </w:tc>
        <w:tc>
          <w:tcPr>
            <w:tcW w:w="7226" w:type="dxa"/>
            <w:gridSpan w:val="2"/>
            <w:tcMar>
              <w:top w:w="30" w:type="dxa"/>
              <w:left w:w="45" w:type="dxa"/>
              <w:bottom w:w="30" w:type="dxa"/>
              <w:right w:w="45" w:type="dxa"/>
            </w:tcMar>
          </w:tcPr>
          <w:p w:rsidR="00F87A4D" w:rsidRPr="002A7CCB" w:rsidRDefault="00F87A4D" w:rsidP="007F0649">
            <w:pPr>
              <w:spacing w:after="0" w:line="240" w:lineRule="auto"/>
              <w:jc w:val="center"/>
              <w:rPr>
                <w:rFonts w:ascii="Times New Roman" w:hAnsi="Times New Roman"/>
                <w:b/>
                <w:bCs/>
                <w:sz w:val="28"/>
                <w:szCs w:val="28"/>
                <w:lang w:val="uk-UA" w:eastAsia="ru-RU"/>
              </w:rPr>
            </w:pPr>
            <w:r w:rsidRPr="002A7CCB">
              <w:rPr>
                <w:rFonts w:ascii="Times New Roman" w:hAnsi="Times New Roman"/>
                <w:b/>
                <w:sz w:val="28"/>
                <w:szCs w:val="28"/>
                <w:lang w:val="uk-UA"/>
              </w:rPr>
              <w:t>Зміст відповідного положення (норми) проекту акта</w:t>
            </w:r>
          </w:p>
        </w:tc>
      </w:tr>
      <w:tr w:rsidR="00F87A4D" w:rsidRPr="002A7CCB" w:rsidTr="007F0649">
        <w:trPr>
          <w:trHeight w:val="315"/>
        </w:trPr>
        <w:tc>
          <w:tcPr>
            <w:tcW w:w="14312" w:type="dxa"/>
            <w:gridSpan w:val="3"/>
            <w:tcMar>
              <w:top w:w="30" w:type="dxa"/>
              <w:left w:w="45" w:type="dxa"/>
              <w:bottom w:w="30" w:type="dxa"/>
              <w:right w:w="45" w:type="dxa"/>
            </w:tcMar>
          </w:tcPr>
          <w:p w:rsidR="00F87A4D" w:rsidRPr="002A7CCB" w:rsidRDefault="002A7CCB" w:rsidP="00B92D1C">
            <w:pPr>
              <w:spacing w:after="0" w:line="240" w:lineRule="auto"/>
              <w:jc w:val="center"/>
              <w:rPr>
                <w:rFonts w:ascii="Times New Roman" w:hAnsi="Times New Roman"/>
                <w:b/>
                <w:bCs/>
                <w:sz w:val="28"/>
                <w:szCs w:val="28"/>
                <w:lang w:val="uk-UA" w:eastAsia="ru-RU"/>
              </w:rPr>
            </w:pPr>
            <w:r>
              <w:rPr>
                <w:rFonts w:ascii="Times New Roman" w:hAnsi="Times New Roman"/>
                <w:b/>
                <w:sz w:val="28"/>
                <w:szCs w:val="28"/>
                <w:lang w:val="uk-UA" w:eastAsia="uk-UA"/>
              </w:rPr>
              <w:t>Кодекс</w:t>
            </w:r>
            <w:r w:rsidRPr="002A7CCB">
              <w:rPr>
                <w:rFonts w:ascii="Times New Roman" w:hAnsi="Times New Roman"/>
                <w:b/>
                <w:sz w:val="28"/>
                <w:szCs w:val="28"/>
                <w:lang w:val="uk-UA" w:eastAsia="uk-UA"/>
              </w:rPr>
              <w:t xml:space="preserve"> адміні</w:t>
            </w:r>
            <w:r>
              <w:rPr>
                <w:rFonts w:ascii="Times New Roman" w:hAnsi="Times New Roman"/>
                <w:b/>
                <w:sz w:val="28"/>
                <w:szCs w:val="28"/>
                <w:lang w:val="uk-UA" w:eastAsia="uk-UA"/>
              </w:rPr>
              <w:t>стративного судочинства України</w:t>
            </w:r>
          </w:p>
        </w:tc>
      </w:tr>
      <w:tr w:rsidR="00B92D1C" w:rsidRPr="002A7CCB" w:rsidTr="00B92D1C">
        <w:trPr>
          <w:trHeight w:val="315"/>
        </w:trPr>
        <w:tc>
          <w:tcPr>
            <w:tcW w:w="7178" w:type="dxa"/>
            <w:gridSpan w:val="2"/>
            <w:tcMar>
              <w:top w:w="30" w:type="dxa"/>
              <w:left w:w="45" w:type="dxa"/>
              <w:bottom w:w="30" w:type="dxa"/>
              <w:right w:w="45" w:type="dxa"/>
            </w:tcMar>
          </w:tcPr>
          <w:p w:rsidR="00B92D1C" w:rsidRPr="00991104" w:rsidRDefault="002A7CCB" w:rsidP="002A7CCB">
            <w:pPr>
              <w:pStyle w:val="HTML"/>
              <w:shd w:val="clear" w:color="auto" w:fill="FFFFFF"/>
              <w:jc w:val="center"/>
              <w:rPr>
                <w:rFonts w:ascii="Times New Roman" w:hAnsi="Times New Roman"/>
                <w:b/>
                <w:bCs/>
                <w:color w:val="000000"/>
                <w:sz w:val="28"/>
                <w:szCs w:val="28"/>
                <w:bdr w:val="none" w:sz="0" w:space="0" w:color="auto" w:frame="1"/>
                <w:lang w:val="uk-UA" w:eastAsia="uk-UA"/>
              </w:rPr>
            </w:pPr>
            <w:r w:rsidRPr="00991104">
              <w:rPr>
                <w:rStyle w:val="rvts15"/>
                <w:rFonts w:ascii="Times New Roman" w:hAnsi="Times New Roman"/>
                <w:b/>
                <w:bCs/>
                <w:color w:val="000000"/>
                <w:sz w:val="28"/>
                <w:szCs w:val="28"/>
                <w:bdr w:val="none" w:sz="0" w:space="0" w:color="auto" w:frame="1"/>
                <w:shd w:val="clear" w:color="auto" w:fill="FFFFFF"/>
                <w:lang w:val="uk-UA"/>
              </w:rPr>
              <w:t>Глава 10. Забезпечення позову</w:t>
            </w:r>
          </w:p>
          <w:p w:rsidR="00B92D1C" w:rsidRPr="00991104" w:rsidRDefault="00B92D1C" w:rsidP="00B92D1C">
            <w:pPr>
              <w:pStyle w:val="rvps2"/>
              <w:shd w:val="clear" w:color="auto" w:fill="FFFFFF"/>
              <w:jc w:val="both"/>
              <w:textAlignment w:val="baseline"/>
              <w:rPr>
                <w:b/>
                <w:bCs/>
                <w:color w:val="000000"/>
                <w:sz w:val="28"/>
                <w:szCs w:val="28"/>
                <w:bdr w:val="none" w:sz="0" w:space="0" w:color="auto" w:frame="1"/>
                <w:lang w:val="uk-UA" w:eastAsia="uk-UA"/>
              </w:rPr>
            </w:pPr>
            <w:r w:rsidRPr="00991104">
              <w:rPr>
                <w:b/>
                <w:color w:val="000000"/>
                <w:sz w:val="28"/>
                <w:szCs w:val="28"/>
                <w:lang w:val="uk-UA"/>
              </w:rPr>
              <w:t xml:space="preserve">     </w:t>
            </w:r>
            <w:r w:rsidRPr="00991104">
              <w:rPr>
                <w:b/>
                <w:bCs/>
                <w:color w:val="000000"/>
                <w:sz w:val="28"/>
                <w:szCs w:val="28"/>
                <w:bdr w:val="none" w:sz="0" w:space="0" w:color="auto" w:frame="1"/>
                <w:lang w:val="uk-UA" w:eastAsia="uk-UA"/>
              </w:rPr>
              <w:t>…</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eastAsia="uk-UA"/>
              </w:rPr>
            </w:pPr>
            <w:r w:rsidRPr="00991104">
              <w:rPr>
                <w:rStyle w:val="rvts9"/>
                <w:b/>
                <w:bCs/>
                <w:color w:val="000000"/>
                <w:sz w:val="28"/>
                <w:szCs w:val="28"/>
                <w:lang w:val="uk-UA"/>
              </w:rPr>
              <w:t>Стаття 151. </w:t>
            </w:r>
            <w:r w:rsidRPr="00991104">
              <w:rPr>
                <w:color w:val="000000"/>
                <w:sz w:val="28"/>
                <w:szCs w:val="28"/>
                <w:lang w:val="uk-UA"/>
              </w:rPr>
              <w:t>Види забезпечення позову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 w:name="n10619"/>
            <w:bookmarkEnd w:id="1"/>
            <w:r w:rsidRPr="00991104">
              <w:rPr>
                <w:color w:val="000000"/>
                <w:sz w:val="28"/>
                <w:szCs w:val="28"/>
                <w:lang w:val="uk-UA"/>
              </w:rPr>
              <w:t>1. Позов може бути забезпечено:</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2" w:name="n10620"/>
            <w:bookmarkEnd w:id="2"/>
            <w:r w:rsidRPr="00991104">
              <w:rPr>
                <w:color w:val="000000"/>
                <w:sz w:val="28"/>
                <w:szCs w:val="28"/>
                <w:lang w:val="uk-UA"/>
              </w:rPr>
              <w:t>1) зупиненням дії індивідуального акта або нормативно-правового акта;</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3" w:name="n10621"/>
            <w:bookmarkEnd w:id="3"/>
            <w:r w:rsidRPr="00991104">
              <w:rPr>
                <w:color w:val="000000"/>
                <w:sz w:val="28"/>
                <w:szCs w:val="28"/>
                <w:lang w:val="uk-UA"/>
              </w:rPr>
              <w:t>2) забороною відповідачу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4" w:name="n10622"/>
            <w:bookmarkEnd w:id="4"/>
            <w:r w:rsidRPr="00991104">
              <w:rPr>
                <w:color w:val="000000"/>
                <w:sz w:val="28"/>
                <w:szCs w:val="28"/>
                <w:lang w:val="uk-UA"/>
              </w:rPr>
              <w:t>3) встановленням обов’язку відповідача вчинити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5" w:name="n10623"/>
            <w:bookmarkEnd w:id="5"/>
            <w:r w:rsidRPr="00991104">
              <w:rPr>
                <w:color w:val="000000"/>
                <w:sz w:val="28"/>
                <w:szCs w:val="28"/>
                <w:lang w:val="uk-UA"/>
              </w:rPr>
              <w:t>4) забороною іншим особам вчиняти дії, що стосуються предмета спору;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6" w:name="n10624"/>
            <w:bookmarkEnd w:id="6"/>
            <w:r w:rsidRPr="00991104">
              <w:rPr>
                <w:color w:val="000000"/>
                <w:sz w:val="28"/>
                <w:szCs w:val="28"/>
                <w:lang w:val="uk-UA"/>
              </w:rPr>
              <w:t>5) зупиненням стягнення на підставі виконавчого документа або іншого документа, за яким стягнення здійснюється у безспірному порядку.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7" w:name="n10625"/>
            <w:bookmarkEnd w:id="7"/>
            <w:r w:rsidRPr="00991104">
              <w:rPr>
                <w:color w:val="000000"/>
                <w:sz w:val="28"/>
                <w:szCs w:val="28"/>
                <w:lang w:val="uk-UA"/>
              </w:rPr>
              <w:t xml:space="preserve">2. Суд може застосувати кілька заходів забезпечення позову. Заходи забезпечення позову мають бути співмірними із заявленими позивачем вимогами. Суд також повинен враховувати співвідношення прав (інтересу), про захист яких просить заявник, із наслідками </w:t>
            </w:r>
            <w:r w:rsidRPr="00991104">
              <w:rPr>
                <w:color w:val="000000"/>
                <w:sz w:val="28"/>
                <w:szCs w:val="28"/>
                <w:lang w:val="uk-UA"/>
              </w:rPr>
              <w:lastRenderedPageBreak/>
              <w:t>вжиття заходів забезпечення позову для заінтересованих осіб.</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8" w:name="n10626"/>
            <w:bookmarkEnd w:id="8"/>
            <w:r w:rsidRPr="00991104">
              <w:rPr>
                <w:color w:val="000000"/>
                <w:sz w:val="28"/>
                <w:szCs w:val="28"/>
                <w:lang w:val="uk-UA"/>
              </w:rPr>
              <w:t>3. Не допускається забезпечення позову шляхом:</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9" w:name="n10627"/>
            <w:bookmarkEnd w:id="9"/>
            <w:r w:rsidRPr="00991104">
              <w:rPr>
                <w:color w:val="000000"/>
                <w:sz w:val="28"/>
                <w:szCs w:val="28"/>
                <w:lang w:val="uk-UA"/>
              </w:rPr>
              <w:t xml:space="preserve">1) зупинення актів Верховної Ради України, Президента України, </w:t>
            </w:r>
            <w:r w:rsidR="00991104" w:rsidRPr="00991104">
              <w:rPr>
                <w:color w:val="000000"/>
                <w:sz w:val="28"/>
                <w:szCs w:val="28"/>
                <w:lang w:val="uk-UA"/>
              </w:rPr>
              <w:t xml:space="preserve">Кабінету Міністрів України, </w:t>
            </w:r>
            <w:r w:rsidRPr="00991104">
              <w:rPr>
                <w:color w:val="000000"/>
                <w:sz w:val="28"/>
                <w:szCs w:val="28"/>
                <w:lang w:val="uk-UA"/>
              </w:rPr>
              <w:t>Вищої ради правосуддя, Вищої кваліфікаційної комісії суддів України, Кваліфікаційно-дисциплінарної комісії прокурорів</w:t>
            </w:r>
            <w:r w:rsidR="00991104" w:rsidRPr="00991104">
              <w:rPr>
                <w:color w:val="000000"/>
                <w:sz w:val="28"/>
                <w:szCs w:val="28"/>
                <w:lang w:val="uk-UA"/>
              </w:rPr>
              <w:t xml:space="preserve">, </w:t>
            </w:r>
            <w:r w:rsidR="00991104" w:rsidRPr="00991104">
              <w:rPr>
                <w:sz w:val="28"/>
                <w:szCs w:val="28"/>
                <w:lang w:val="uk-UA"/>
              </w:rPr>
              <w:t>органів, що здійснюють дисциплінарне провадження щодо прокурорів</w:t>
            </w:r>
            <w:r w:rsidRPr="00991104">
              <w:rPr>
                <w:color w:val="000000"/>
                <w:sz w:val="28"/>
                <w:szCs w:val="28"/>
                <w:lang w:val="uk-UA"/>
              </w:rPr>
              <w:t xml:space="preserve"> та встановлення для них заборони або обов’язку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0" w:name="n10628"/>
            <w:bookmarkEnd w:id="10"/>
            <w:r w:rsidRPr="00991104">
              <w:rPr>
                <w:color w:val="000000"/>
                <w:sz w:val="28"/>
                <w:szCs w:val="28"/>
                <w:lang w:val="uk-UA"/>
              </w:rPr>
              <w:t>2) зупинення рішень Фонду гарантування вкладів фізичних осіб щодо призначення уповноваженої особи Фонду гарантування вкладів фізичних осіб та щодо здійснення тимчасової адміністрації або ліквідації банку, встановлення заборони або обов’язку вчиняти певні дії уповноваженій особі Фонду гарантування вкладів фізичних осіб або Фонду гарантування вкладів фізичних осіб при здійсненні тимчасової адміністрації або ліквідації банку;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1" w:name="n10629"/>
            <w:bookmarkEnd w:id="11"/>
            <w:r w:rsidRPr="00991104">
              <w:rPr>
                <w:color w:val="000000"/>
                <w:sz w:val="28"/>
                <w:szCs w:val="28"/>
                <w:lang w:val="uk-UA"/>
              </w:rPr>
              <w:t>3) зупинення рішень уповноваженого центрального органу з питань цивільної авіації щодо призупинення дії або анулювання сертифікатів, схвалень, допусків;</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2" w:name="n10630"/>
            <w:bookmarkEnd w:id="12"/>
            <w:r w:rsidRPr="00991104">
              <w:rPr>
                <w:color w:val="000000"/>
                <w:sz w:val="28"/>
                <w:szCs w:val="28"/>
                <w:lang w:val="uk-UA"/>
              </w:rPr>
              <w:t>4) зупинення рішень Національного банку України, актів Національного банку України, а також встановлення для Національного банку України заборони або обов’язку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3" w:name="n10631"/>
            <w:bookmarkEnd w:id="13"/>
            <w:r w:rsidRPr="00991104">
              <w:rPr>
                <w:color w:val="000000"/>
                <w:sz w:val="28"/>
                <w:szCs w:val="28"/>
                <w:lang w:val="uk-UA"/>
              </w:rPr>
              <w:t xml:space="preserve">5) зупинення дії рішення суб’єкта владних повноважень, яке не є предметом оскарження в </w:t>
            </w:r>
            <w:r w:rsidRPr="00991104">
              <w:rPr>
                <w:color w:val="000000"/>
                <w:sz w:val="28"/>
                <w:szCs w:val="28"/>
                <w:lang w:val="uk-UA"/>
              </w:rPr>
              <w:lastRenderedPageBreak/>
              <w:t>адміністративній справі, або встановлення заборони або обов’язку вчиняти дії, що випливають з такого рішення;</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4" w:name="n12759"/>
            <w:bookmarkEnd w:id="14"/>
            <w:r w:rsidRPr="00991104">
              <w:rPr>
                <w:color w:val="000000"/>
                <w:sz w:val="28"/>
                <w:szCs w:val="28"/>
                <w:lang w:val="uk-UA"/>
              </w:rPr>
              <w:t>6) зупинення рішення Національної комісії, що здійснює державне регулювання у сферах енергетики та комунальних послуг, щодо встановлення державних регульованих цін (тарифів) на ринку електричної енергії та природного газу, затвердження методик (порядків) їх встановлення (формування, розрахунку);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5" w:name="n12761"/>
            <w:bookmarkStart w:id="16" w:name="n12760"/>
            <w:bookmarkEnd w:id="15"/>
            <w:bookmarkEnd w:id="16"/>
            <w:r w:rsidRPr="00991104">
              <w:rPr>
                <w:color w:val="000000"/>
                <w:sz w:val="28"/>
                <w:szCs w:val="28"/>
                <w:lang w:val="uk-UA"/>
              </w:rPr>
              <w:t>7) зупинення рішення Конкурсної комісії з добору кандидатів на посади членів Національної комісії, що здійснює державне регулювання у сферах енергетики та комунальних послуг, встановлення заборони Кабінету Міністрів України призначати на посаду члена (членів) Національної комісії, що здійснює державне регулювання у сферах енергетики та комунальних послуг, відповідно до </w:t>
            </w:r>
            <w:hyperlink r:id="rId4" w:tgtFrame="_blank" w:history="1">
              <w:r w:rsidRPr="00991104">
                <w:rPr>
                  <w:rStyle w:val="a3"/>
                  <w:color w:val="auto"/>
                  <w:sz w:val="28"/>
                  <w:szCs w:val="28"/>
                  <w:u w:val="none"/>
                  <w:lang w:val="uk-UA"/>
                </w:rPr>
                <w:t>Закону України</w:t>
              </w:r>
            </w:hyperlink>
            <w:r w:rsidRPr="00991104">
              <w:rPr>
                <w:sz w:val="28"/>
                <w:szCs w:val="28"/>
                <w:lang w:val="uk-UA"/>
              </w:rPr>
              <w:t> "Про Національну комісію, що здійснює державне регулювання</w:t>
            </w:r>
            <w:r w:rsidRPr="00991104">
              <w:rPr>
                <w:color w:val="000000"/>
                <w:sz w:val="28"/>
                <w:szCs w:val="28"/>
                <w:lang w:val="uk-UA"/>
              </w:rPr>
              <w:t xml:space="preserve"> у сферах енергетики та комунальних послуг".</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7" w:name="n12758"/>
            <w:bookmarkStart w:id="18" w:name="n10632"/>
            <w:bookmarkEnd w:id="17"/>
            <w:bookmarkEnd w:id="18"/>
            <w:r w:rsidRPr="00991104">
              <w:rPr>
                <w:color w:val="000000"/>
                <w:sz w:val="28"/>
                <w:szCs w:val="28"/>
                <w:lang w:val="uk-UA"/>
              </w:rPr>
              <w:t>4. Заходи забезпечення позову, які застосовує суд, не можуть зупиняти, унеможливлювати або в інший спосіб порушувати безперервність процесу призначення, підготовки і проведення виборів.</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bookmarkStart w:id="19" w:name="n10633"/>
            <w:bookmarkEnd w:id="19"/>
            <w:r w:rsidRPr="00991104">
              <w:rPr>
                <w:color w:val="000000"/>
                <w:sz w:val="28"/>
                <w:szCs w:val="28"/>
                <w:lang w:val="uk-UA"/>
              </w:rPr>
              <w:t>5. Зупинення дії нормативно-правового акта як захід забезпечення позову допускається лише у разі очевидних ознак протиправності такого акта та порушення прав, свобод або інтересів особи, яка звернулася до суду з позовом щодо такого акта.</w:t>
            </w:r>
          </w:p>
          <w:p w:rsidR="00B92D1C" w:rsidRPr="00991104" w:rsidRDefault="00991104" w:rsidP="00991104">
            <w:pPr>
              <w:spacing w:after="0" w:line="240" w:lineRule="auto"/>
              <w:jc w:val="both"/>
              <w:rPr>
                <w:rFonts w:ascii="Times New Roman" w:hAnsi="Times New Roman"/>
                <w:b/>
                <w:sz w:val="28"/>
                <w:szCs w:val="28"/>
                <w:lang w:val="uk-UA" w:eastAsia="uk-UA"/>
              </w:rPr>
            </w:pPr>
            <w:r w:rsidRPr="00991104">
              <w:rPr>
                <w:rFonts w:ascii="Times New Roman" w:hAnsi="Times New Roman"/>
                <w:sz w:val="28"/>
                <w:szCs w:val="28"/>
                <w:lang w:val="uk-UA"/>
              </w:rPr>
              <w:t xml:space="preserve">6. Не допускається вжиття заходів забезпечення позову, </w:t>
            </w:r>
            <w:r w:rsidRPr="00991104">
              <w:rPr>
                <w:rFonts w:ascii="Times New Roman" w:hAnsi="Times New Roman"/>
                <w:sz w:val="28"/>
                <w:szCs w:val="28"/>
                <w:lang w:val="uk-UA"/>
              </w:rPr>
              <w:lastRenderedPageBreak/>
              <w:t>які полягають в (або мають наслідком) припиненні, відкладенні, зупиненні чи іншому втручанні у проведення конкурсу, аукціону, торгів, тендера чи інших публічних конкурсних процедур, що проводяться від імені держави (державного органу), територіальної громади (органу місцевого самоврядування) або за участю призначеного державним органом суб'єкта у складі комісії, що проводить конкурс, аукціон, торги, тендер чи іншу публічну конкурсну процедуру»;</w:t>
            </w:r>
          </w:p>
        </w:tc>
        <w:tc>
          <w:tcPr>
            <w:tcW w:w="7134" w:type="dxa"/>
          </w:tcPr>
          <w:p w:rsidR="002A7CCB" w:rsidRPr="00991104" w:rsidRDefault="002A7CCB" w:rsidP="002A7CCB">
            <w:pPr>
              <w:pStyle w:val="rvps2"/>
              <w:shd w:val="clear" w:color="auto" w:fill="FFFFFF"/>
              <w:jc w:val="center"/>
              <w:textAlignment w:val="baseline"/>
              <w:rPr>
                <w:b/>
                <w:color w:val="000000"/>
                <w:sz w:val="28"/>
                <w:szCs w:val="28"/>
                <w:lang w:val="uk-UA"/>
              </w:rPr>
            </w:pPr>
            <w:r w:rsidRPr="00991104">
              <w:rPr>
                <w:rStyle w:val="rvts15"/>
                <w:b/>
                <w:bCs/>
                <w:color w:val="000000"/>
                <w:sz w:val="28"/>
                <w:szCs w:val="28"/>
                <w:bdr w:val="none" w:sz="0" w:space="0" w:color="auto" w:frame="1"/>
                <w:shd w:val="clear" w:color="auto" w:fill="FFFFFF"/>
                <w:lang w:val="uk-UA" w:eastAsia="en-US"/>
              </w:rPr>
              <w:lastRenderedPageBreak/>
              <w:t>Глава 10. Забезпечення позову</w:t>
            </w:r>
            <w:r w:rsidR="00B92D1C" w:rsidRPr="00991104">
              <w:rPr>
                <w:b/>
                <w:color w:val="000000"/>
                <w:sz w:val="28"/>
                <w:szCs w:val="28"/>
                <w:lang w:val="uk-UA"/>
              </w:rPr>
              <w:t xml:space="preserve">     </w:t>
            </w:r>
          </w:p>
          <w:p w:rsidR="00B92D1C" w:rsidRPr="00991104" w:rsidRDefault="00B92D1C" w:rsidP="002A7CCB">
            <w:pPr>
              <w:pStyle w:val="rvps2"/>
              <w:shd w:val="clear" w:color="auto" w:fill="FFFFFF"/>
              <w:jc w:val="center"/>
              <w:textAlignment w:val="baseline"/>
              <w:rPr>
                <w:b/>
                <w:bCs/>
                <w:color w:val="000000"/>
                <w:sz w:val="28"/>
                <w:szCs w:val="28"/>
                <w:bdr w:val="none" w:sz="0" w:space="0" w:color="auto" w:frame="1"/>
                <w:lang w:val="uk-UA" w:eastAsia="uk-UA"/>
              </w:rPr>
            </w:pPr>
            <w:r w:rsidRPr="00991104">
              <w:rPr>
                <w:b/>
                <w:bCs/>
                <w:color w:val="000000"/>
                <w:sz w:val="28"/>
                <w:szCs w:val="28"/>
                <w:bdr w:val="none" w:sz="0" w:space="0" w:color="auto" w:frame="1"/>
                <w:lang w:val="uk-UA" w:eastAsia="uk-UA"/>
              </w:rPr>
              <w:t>…</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eastAsia="uk-UA"/>
              </w:rPr>
            </w:pPr>
            <w:r w:rsidRPr="00991104">
              <w:rPr>
                <w:rStyle w:val="rvts9"/>
                <w:b/>
                <w:bCs/>
                <w:color w:val="000000"/>
                <w:sz w:val="28"/>
                <w:szCs w:val="28"/>
                <w:lang w:val="uk-UA"/>
              </w:rPr>
              <w:t>Стаття 151. </w:t>
            </w:r>
            <w:r w:rsidRPr="00991104">
              <w:rPr>
                <w:color w:val="000000"/>
                <w:sz w:val="28"/>
                <w:szCs w:val="28"/>
                <w:lang w:val="uk-UA"/>
              </w:rPr>
              <w:t>Види забезпечення позову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1. Позов може бути забезпечено:</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1) зупиненням дії індивідуального акта або нормативно-правового акта;</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2) забороною відповідачу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3) встановленням обов’язку відповідача вчинити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4) забороною іншим особам вчиняти дії, що стосуються предмета спору;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5) зупиненням стягнення на підставі виконавчого документа або іншого документа, за яким стягнення здійснюється у безспірному порядку.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 xml:space="preserve">2. Суд може застосувати кілька заходів забезпечення позову. Заходи забезпечення позову мають бути співмірними із заявленими позивачем вимогами. Суд також повинен враховувати співвідношення прав (інтересу), про захист яких просить заявник, із наслідками </w:t>
            </w:r>
            <w:r w:rsidRPr="00991104">
              <w:rPr>
                <w:color w:val="000000"/>
                <w:sz w:val="28"/>
                <w:szCs w:val="28"/>
                <w:lang w:val="uk-UA"/>
              </w:rPr>
              <w:lastRenderedPageBreak/>
              <w:t>вжиття заходів забезпечення позову для заінтересованих осіб.</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3. Не допускається забезпечення позову шляхом:</w:t>
            </w:r>
          </w:p>
          <w:p w:rsidR="002A7CCB" w:rsidRPr="00991104" w:rsidRDefault="002A7CCB" w:rsidP="002A7CCB">
            <w:pPr>
              <w:pStyle w:val="rvps2"/>
              <w:shd w:val="clear" w:color="auto" w:fill="FFFFFF"/>
              <w:spacing w:before="0" w:beforeAutospacing="0" w:after="150" w:afterAutospacing="0"/>
              <w:ind w:firstLine="450"/>
              <w:jc w:val="both"/>
              <w:rPr>
                <w:b/>
                <w:color w:val="000000"/>
                <w:sz w:val="28"/>
                <w:szCs w:val="28"/>
                <w:lang w:val="uk-UA"/>
              </w:rPr>
            </w:pPr>
            <w:r w:rsidRPr="00991104">
              <w:rPr>
                <w:color w:val="000000"/>
                <w:sz w:val="28"/>
                <w:szCs w:val="28"/>
                <w:lang w:val="uk-UA"/>
              </w:rPr>
              <w:t>1</w:t>
            </w:r>
            <w:r w:rsidRPr="00991104">
              <w:rPr>
                <w:b/>
                <w:color w:val="000000"/>
                <w:sz w:val="28"/>
                <w:szCs w:val="28"/>
                <w:lang w:val="uk-UA"/>
              </w:rPr>
              <w:t>) зупинення нормативно-правових Кабінету Міністрів України актів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та встановлення для них заборони або обов’язку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2) зупинення рішень Фонду гарантування вкладів фізичних осіб щодо призначення уповноваженої особи Фонду гарантування вкладів фізичних осіб та щодо здійснення тимчасової адміністрації або ліквідації банку, встановлення заборони або обов’язку вчиняти певні дії уповноваженій особі Фонду гарантування вкладів фізичних осіб або Фонду гарантування вкладів фізичних осіб при здійсненні тимчасової адміністрації або ліквідації банку;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3) зупинення рішень уповноваженого центрального органу з питань цивільної авіації щодо призупинення дії або анулювання сертифікатів, схвалень, допусків;</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4) зупинення рішень Національного банку України, актів Національного банку України, а також встановлення для Національного банку України заборони або обов’язку вчиняти певні дії;</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 xml:space="preserve">5) зупинення дії рішення суб’єкта владних повноважень, яке не є предметом оскарження в </w:t>
            </w:r>
            <w:r w:rsidRPr="00991104">
              <w:rPr>
                <w:color w:val="000000"/>
                <w:sz w:val="28"/>
                <w:szCs w:val="28"/>
                <w:lang w:val="uk-UA"/>
              </w:rPr>
              <w:lastRenderedPageBreak/>
              <w:t>адміністративній справі, або встановлення заборони або обов’язку вчиняти дії, що випливають з такого рішення;</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6) зупинення рішення Національної комісії, що здійснює державне регулювання у сферах енергетики та комунальних послуг, щодо встановлення державних регульованих цін (тарифів) на ринку електричної енергії та природного газу, затвердження методик (порядків) їх встановлення (формування, розрахунку);</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7) зупинення рішення Конкурсної комісії з добору кандидатів на посади членів Національної комісії, що здійснює державне регулювання у сферах енергетики та комунальних послуг, встановлення заборони Кабінету Міністрів України призначати на посаду члена (членів) Національної комісії, що здійснює державне регулювання у сферах енергетики та комунальних послуг, відповідно до </w:t>
            </w:r>
            <w:hyperlink r:id="rId5" w:tgtFrame="_blank" w:history="1">
              <w:r w:rsidRPr="00991104">
                <w:rPr>
                  <w:rStyle w:val="a3"/>
                  <w:color w:val="auto"/>
                  <w:sz w:val="28"/>
                  <w:szCs w:val="28"/>
                  <w:u w:val="none"/>
                  <w:lang w:val="uk-UA"/>
                </w:rPr>
                <w:t>Закону України</w:t>
              </w:r>
            </w:hyperlink>
            <w:r w:rsidRPr="00991104">
              <w:rPr>
                <w:sz w:val="28"/>
                <w:szCs w:val="28"/>
                <w:lang w:val="uk-UA"/>
              </w:rPr>
              <w:t> "Про Національну комісію, що здійснює державне регулювання у сферах енергетики та комунальних послуг".</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4. Заходи забезпечення позову, які застосовує суд, не можуть зупиняти, унеможливлювати або в інший спосіб порушувати безперервність процесу призначення, підготовки і проведення виборів.</w:t>
            </w:r>
          </w:p>
          <w:p w:rsidR="002A7CCB" w:rsidRPr="00991104" w:rsidRDefault="002A7CCB" w:rsidP="002A7CCB">
            <w:pPr>
              <w:pStyle w:val="rvps2"/>
              <w:shd w:val="clear" w:color="auto" w:fill="FFFFFF"/>
              <w:spacing w:before="0" w:beforeAutospacing="0" w:after="150" w:afterAutospacing="0"/>
              <w:ind w:firstLine="450"/>
              <w:jc w:val="both"/>
              <w:rPr>
                <w:color w:val="000000"/>
                <w:sz w:val="28"/>
                <w:szCs w:val="28"/>
                <w:lang w:val="uk-UA"/>
              </w:rPr>
            </w:pPr>
            <w:r w:rsidRPr="00991104">
              <w:rPr>
                <w:color w:val="000000"/>
                <w:sz w:val="28"/>
                <w:szCs w:val="28"/>
                <w:lang w:val="uk-UA"/>
              </w:rPr>
              <w:t>5. Зупинення дії нормативно-правового акта як захід забезпечення позову допускається лише у разі очевидних ознак протиправності такого акта та порушення прав, свобод або інтересів особи, яка звернулася до суду з позовом щодо такого акта.</w:t>
            </w:r>
          </w:p>
          <w:p w:rsidR="002A7CCB" w:rsidRPr="00991104" w:rsidRDefault="002A7CCB" w:rsidP="002A7CCB">
            <w:pPr>
              <w:pStyle w:val="rvps2"/>
              <w:shd w:val="clear" w:color="auto" w:fill="FFFFFF"/>
              <w:spacing w:before="0" w:beforeAutospacing="0" w:after="150" w:afterAutospacing="0"/>
              <w:ind w:firstLine="450"/>
              <w:jc w:val="both"/>
              <w:rPr>
                <w:b/>
                <w:color w:val="000000"/>
                <w:sz w:val="28"/>
                <w:szCs w:val="28"/>
                <w:lang w:val="uk-UA"/>
              </w:rPr>
            </w:pPr>
            <w:r w:rsidRPr="00991104">
              <w:rPr>
                <w:b/>
                <w:color w:val="000000"/>
                <w:sz w:val="28"/>
                <w:szCs w:val="28"/>
                <w:lang w:val="uk-UA"/>
              </w:rPr>
              <w:t xml:space="preserve">6. Не допускається вжиття заходів забезпечення </w:t>
            </w:r>
            <w:r w:rsidRPr="00991104">
              <w:rPr>
                <w:b/>
                <w:color w:val="000000"/>
                <w:sz w:val="28"/>
                <w:szCs w:val="28"/>
                <w:lang w:val="uk-UA"/>
              </w:rPr>
              <w:lastRenderedPageBreak/>
              <w:t>позову, які мають своїм наслідком припинення відкладення чи зупинення процедур публічних закупівель.</w:t>
            </w:r>
          </w:p>
          <w:p w:rsidR="00B92D1C" w:rsidRPr="00991104" w:rsidRDefault="00B92D1C" w:rsidP="00B92D1C">
            <w:pPr>
              <w:spacing w:after="0" w:line="240" w:lineRule="auto"/>
              <w:jc w:val="center"/>
              <w:rPr>
                <w:rFonts w:ascii="Times New Roman" w:hAnsi="Times New Roman"/>
                <w:b/>
                <w:sz w:val="28"/>
                <w:szCs w:val="28"/>
                <w:lang w:val="uk-UA" w:eastAsia="uk-UA"/>
              </w:rPr>
            </w:pPr>
            <w:r w:rsidRPr="00991104">
              <w:rPr>
                <w:rFonts w:ascii="Times New Roman" w:hAnsi="Times New Roman"/>
                <w:bCs/>
                <w:color w:val="000000"/>
                <w:sz w:val="28"/>
                <w:szCs w:val="28"/>
                <w:bdr w:val="none" w:sz="0" w:space="0" w:color="auto" w:frame="1"/>
                <w:lang w:val="uk-UA" w:eastAsia="uk-UA"/>
              </w:rPr>
              <w:t>…</w:t>
            </w:r>
          </w:p>
        </w:tc>
      </w:tr>
    </w:tbl>
    <w:p w:rsidR="00991104" w:rsidRDefault="00991104" w:rsidP="00991104">
      <w:pPr>
        <w:spacing w:after="0" w:line="240" w:lineRule="auto"/>
        <w:ind w:left="426"/>
        <w:rPr>
          <w:rFonts w:ascii="Times New Roman" w:hAnsi="Times New Roman"/>
          <w:b/>
          <w:sz w:val="28"/>
          <w:szCs w:val="28"/>
          <w:lang w:val="uk-UA"/>
        </w:rPr>
      </w:pPr>
      <w:bookmarkStart w:id="20" w:name="o106"/>
      <w:bookmarkStart w:id="21" w:name="o108"/>
      <w:bookmarkStart w:id="22" w:name="o112"/>
      <w:bookmarkStart w:id="23" w:name="o116"/>
      <w:bookmarkStart w:id="24" w:name="o118"/>
      <w:bookmarkStart w:id="25" w:name="n130"/>
      <w:bookmarkEnd w:id="20"/>
      <w:bookmarkEnd w:id="21"/>
      <w:bookmarkEnd w:id="22"/>
      <w:bookmarkEnd w:id="23"/>
      <w:bookmarkEnd w:id="24"/>
      <w:bookmarkEnd w:id="25"/>
    </w:p>
    <w:p w:rsidR="00AF7A64" w:rsidRDefault="00F87A4D" w:rsidP="00991104">
      <w:pPr>
        <w:spacing w:after="0" w:line="240" w:lineRule="auto"/>
        <w:ind w:left="426"/>
        <w:rPr>
          <w:rFonts w:ascii="Times New Roman" w:hAnsi="Times New Roman"/>
          <w:b/>
          <w:sz w:val="28"/>
          <w:szCs w:val="28"/>
          <w:lang w:val="uk-UA"/>
        </w:rPr>
      </w:pPr>
      <w:r w:rsidRPr="002A7CCB">
        <w:rPr>
          <w:rFonts w:ascii="Times New Roman" w:hAnsi="Times New Roman"/>
          <w:b/>
          <w:sz w:val="28"/>
          <w:szCs w:val="28"/>
          <w:lang w:val="uk-UA"/>
        </w:rPr>
        <w:t>Народн</w:t>
      </w:r>
      <w:r w:rsidR="00B92D1C" w:rsidRPr="002A7CCB">
        <w:rPr>
          <w:rFonts w:ascii="Times New Roman" w:hAnsi="Times New Roman"/>
          <w:b/>
          <w:sz w:val="28"/>
          <w:szCs w:val="28"/>
          <w:lang w:val="uk-UA"/>
        </w:rPr>
        <w:t>і</w:t>
      </w:r>
      <w:r w:rsidRPr="002A7CCB">
        <w:rPr>
          <w:rFonts w:ascii="Times New Roman" w:hAnsi="Times New Roman"/>
          <w:b/>
          <w:sz w:val="28"/>
          <w:szCs w:val="28"/>
          <w:lang w:val="uk-UA"/>
        </w:rPr>
        <w:t xml:space="preserve"> депутат</w:t>
      </w:r>
      <w:r w:rsidR="00B92D1C" w:rsidRPr="002A7CCB">
        <w:rPr>
          <w:rFonts w:ascii="Times New Roman" w:hAnsi="Times New Roman"/>
          <w:b/>
          <w:sz w:val="28"/>
          <w:szCs w:val="28"/>
          <w:lang w:val="uk-UA"/>
        </w:rPr>
        <w:t>и</w:t>
      </w:r>
      <w:r w:rsidRPr="002A7CCB">
        <w:rPr>
          <w:rFonts w:ascii="Times New Roman" w:hAnsi="Times New Roman"/>
          <w:b/>
          <w:sz w:val="28"/>
          <w:szCs w:val="28"/>
          <w:lang w:val="uk-UA"/>
        </w:rPr>
        <w:t xml:space="preserve"> України</w:t>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Pr="002A7CCB">
        <w:rPr>
          <w:rFonts w:ascii="Times New Roman" w:hAnsi="Times New Roman"/>
          <w:b/>
          <w:sz w:val="28"/>
          <w:szCs w:val="28"/>
          <w:lang w:val="uk-UA"/>
        </w:rPr>
        <w:tab/>
      </w:r>
      <w:r w:rsidR="00991104">
        <w:rPr>
          <w:rFonts w:ascii="Times New Roman" w:hAnsi="Times New Roman"/>
          <w:b/>
          <w:sz w:val="28"/>
          <w:szCs w:val="28"/>
          <w:lang w:val="uk-UA"/>
        </w:rPr>
        <w:t xml:space="preserve"> </w:t>
      </w:r>
      <w:r w:rsidR="00AF7A64">
        <w:rPr>
          <w:rFonts w:ascii="Times New Roman" w:hAnsi="Times New Roman"/>
          <w:b/>
          <w:sz w:val="28"/>
          <w:szCs w:val="28"/>
          <w:lang w:val="uk-UA"/>
        </w:rPr>
        <w:t>О.М. Ткаченко</w:t>
      </w:r>
    </w:p>
    <w:p w:rsidR="00AF7A64" w:rsidRDefault="00AF7A64" w:rsidP="00AF7A64">
      <w:pPr>
        <w:spacing w:after="0" w:line="240" w:lineRule="auto"/>
        <w:rPr>
          <w:rFonts w:ascii="Times New Roman" w:hAnsi="Times New Roman"/>
          <w:sz w:val="24"/>
          <w:szCs w:val="24"/>
          <w:lang w:val="uk-UA"/>
        </w:rPr>
      </w:pPr>
      <w:r>
        <w:rPr>
          <w:rFonts w:ascii="Times New Roman" w:hAnsi="Times New Roman"/>
          <w:sz w:val="24"/>
          <w:szCs w:val="24"/>
          <w:lang w:val="uk-UA"/>
        </w:rPr>
        <w:t xml:space="preserve">                                                                                                                                                                                   (посвідчення № 342)</w:t>
      </w:r>
    </w:p>
    <w:p w:rsidR="00991104" w:rsidRDefault="00AF7A64" w:rsidP="00AF7A64">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p>
    <w:p w:rsidR="00AF7A6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 xml:space="preserve"> В.О. Стернійчук </w:t>
      </w:r>
    </w:p>
    <w:p w:rsidR="00AF7A64" w:rsidRDefault="00AF7A64" w:rsidP="00991104">
      <w:pPr>
        <w:spacing w:after="0" w:line="240" w:lineRule="auto"/>
        <w:ind w:left="10631"/>
        <w:rPr>
          <w:rFonts w:ascii="Times New Roman" w:hAnsi="Times New Roman"/>
          <w:sz w:val="24"/>
          <w:szCs w:val="24"/>
          <w:lang w:val="uk-UA"/>
        </w:rPr>
      </w:pPr>
      <w:r>
        <w:rPr>
          <w:rFonts w:ascii="Times New Roman" w:hAnsi="Times New Roman"/>
          <w:sz w:val="24"/>
          <w:szCs w:val="24"/>
          <w:lang w:val="uk-UA"/>
        </w:rPr>
        <w:t xml:space="preserve"> (посвідчення № 270)</w:t>
      </w:r>
    </w:p>
    <w:p w:rsidR="0099110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 xml:space="preserve">                                                             </w:t>
      </w:r>
    </w:p>
    <w:p w:rsidR="00AF7A6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І.А. Шинкаренко</w:t>
      </w:r>
    </w:p>
    <w:p w:rsidR="00AF7A64" w:rsidRDefault="00AF7A64" w:rsidP="00991104">
      <w:pPr>
        <w:spacing w:after="0" w:line="240" w:lineRule="auto"/>
        <w:ind w:left="10631"/>
        <w:rPr>
          <w:rFonts w:ascii="Times New Roman" w:hAnsi="Times New Roman"/>
          <w:sz w:val="24"/>
          <w:szCs w:val="24"/>
          <w:lang w:val="uk-UA"/>
        </w:rPr>
      </w:pPr>
      <w:r>
        <w:rPr>
          <w:rFonts w:ascii="Times New Roman" w:hAnsi="Times New Roman"/>
          <w:sz w:val="24"/>
          <w:szCs w:val="24"/>
          <w:lang w:val="uk-UA"/>
        </w:rPr>
        <w:t>(посвідчення № 117)</w:t>
      </w:r>
    </w:p>
    <w:p w:rsidR="0099110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 xml:space="preserve">                                                         </w:t>
      </w:r>
    </w:p>
    <w:p w:rsidR="00AF7A6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В.В. Кабаченко</w:t>
      </w:r>
    </w:p>
    <w:p w:rsidR="00AF7A64" w:rsidRDefault="00AF7A64" w:rsidP="00991104">
      <w:pPr>
        <w:spacing w:after="0" w:line="240" w:lineRule="auto"/>
        <w:ind w:left="10631"/>
        <w:rPr>
          <w:rFonts w:ascii="Times New Roman" w:hAnsi="Times New Roman"/>
          <w:sz w:val="24"/>
          <w:szCs w:val="24"/>
          <w:lang w:val="uk-UA"/>
        </w:rPr>
      </w:pPr>
      <w:r>
        <w:rPr>
          <w:rFonts w:ascii="Times New Roman" w:hAnsi="Times New Roman"/>
          <w:sz w:val="24"/>
          <w:szCs w:val="24"/>
          <w:lang w:val="uk-UA"/>
        </w:rPr>
        <w:t xml:space="preserve"> </w:t>
      </w:r>
      <w:r w:rsidR="00991104">
        <w:rPr>
          <w:rFonts w:ascii="Times New Roman" w:hAnsi="Times New Roman"/>
          <w:sz w:val="24"/>
          <w:szCs w:val="24"/>
          <w:lang w:val="uk-UA"/>
        </w:rPr>
        <w:t>(п</w:t>
      </w:r>
      <w:r>
        <w:rPr>
          <w:rFonts w:ascii="Times New Roman" w:hAnsi="Times New Roman"/>
          <w:sz w:val="24"/>
          <w:szCs w:val="24"/>
          <w:lang w:val="uk-UA"/>
        </w:rPr>
        <w:t>освідчення №</w:t>
      </w:r>
      <w:r w:rsidR="00991104">
        <w:rPr>
          <w:rFonts w:ascii="Times New Roman" w:hAnsi="Times New Roman"/>
          <w:sz w:val="24"/>
          <w:szCs w:val="24"/>
          <w:lang w:val="uk-UA"/>
        </w:rPr>
        <w:t xml:space="preserve"> 184</w:t>
      </w:r>
      <w:r>
        <w:rPr>
          <w:rFonts w:ascii="Times New Roman" w:hAnsi="Times New Roman"/>
          <w:sz w:val="24"/>
          <w:szCs w:val="24"/>
          <w:lang w:val="uk-UA"/>
        </w:rPr>
        <w:t>)</w:t>
      </w:r>
    </w:p>
    <w:p w:rsidR="0099110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 xml:space="preserve">                                                              </w:t>
      </w:r>
    </w:p>
    <w:p w:rsidR="00AF7A64" w:rsidRDefault="00AF7A64" w:rsidP="00991104">
      <w:pPr>
        <w:spacing w:after="0" w:line="240" w:lineRule="auto"/>
        <w:ind w:left="10631"/>
        <w:rPr>
          <w:rFonts w:ascii="Times New Roman" w:hAnsi="Times New Roman"/>
          <w:b/>
          <w:sz w:val="28"/>
          <w:szCs w:val="28"/>
          <w:lang w:val="uk-UA"/>
        </w:rPr>
      </w:pPr>
      <w:r>
        <w:rPr>
          <w:rFonts w:ascii="Times New Roman" w:hAnsi="Times New Roman"/>
          <w:b/>
          <w:sz w:val="28"/>
          <w:szCs w:val="28"/>
          <w:lang w:val="uk-UA"/>
        </w:rPr>
        <w:t>А.К. Славицька</w:t>
      </w:r>
    </w:p>
    <w:p w:rsidR="00AF7A64" w:rsidRDefault="00AF7A64" w:rsidP="00991104">
      <w:pPr>
        <w:spacing w:after="0" w:line="240" w:lineRule="auto"/>
        <w:ind w:left="10631"/>
        <w:rPr>
          <w:rFonts w:ascii="Times New Roman" w:hAnsi="Times New Roman"/>
          <w:sz w:val="24"/>
          <w:szCs w:val="24"/>
          <w:lang w:val="uk-UA"/>
        </w:rPr>
      </w:pPr>
      <w:r>
        <w:rPr>
          <w:rFonts w:ascii="Times New Roman" w:hAnsi="Times New Roman"/>
          <w:sz w:val="24"/>
          <w:szCs w:val="24"/>
          <w:lang w:val="uk-UA"/>
        </w:rPr>
        <w:t xml:space="preserve"> (посвідчення № </w:t>
      </w:r>
      <w:r w:rsidR="00991104">
        <w:rPr>
          <w:rFonts w:ascii="Times New Roman" w:hAnsi="Times New Roman"/>
          <w:sz w:val="24"/>
          <w:szCs w:val="24"/>
          <w:lang w:val="uk-UA"/>
        </w:rPr>
        <w:t>161</w:t>
      </w:r>
      <w:r>
        <w:rPr>
          <w:rFonts w:ascii="Times New Roman" w:hAnsi="Times New Roman"/>
          <w:sz w:val="24"/>
          <w:szCs w:val="24"/>
          <w:lang w:val="uk-UA"/>
        </w:rPr>
        <w:t>)</w:t>
      </w:r>
    </w:p>
    <w:p w:rsidR="00562D34" w:rsidRPr="002A7CCB" w:rsidRDefault="00562D34" w:rsidP="00AF7A64">
      <w:pPr>
        <w:spacing w:after="0" w:line="240" w:lineRule="auto"/>
        <w:ind w:left="567"/>
        <w:rPr>
          <w:sz w:val="20"/>
          <w:szCs w:val="20"/>
          <w:lang w:val="uk-UA"/>
        </w:rPr>
      </w:pPr>
      <w:r w:rsidRPr="002A7CCB">
        <w:rPr>
          <w:rFonts w:ascii="Times New Roman" w:hAnsi="Times New Roman"/>
          <w:b/>
          <w:sz w:val="20"/>
          <w:szCs w:val="20"/>
          <w:lang w:val="uk-UA"/>
        </w:rPr>
        <w:t xml:space="preserve">                                                                                                                                                                                          </w:t>
      </w:r>
    </w:p>
    <w:sectPr w:rsidR="00562D34" w:rsidRPr="002A7CCB" w:rsidSect="00A543DD">
      <w:pgSz w:w="16838" w:h="11906" w:orient="landscape"/>
      <w:pgMar w:top="99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56B"/>
    <w:rsid w:val="00077259"/>
    <w:rsid w:val="000B1976"/>
    <w:rsid w:val="001A6E7F"/>
    <w:rsid w:val="001C7F02"/>
    <w:rsid w:val="00207DF8"/>
    <w:rsid w:val="002A7CCB"/>
    <w:rsid w:val="004106DC"/>
    <w:rsid w:val="00482F55"/>
    <w:rsid w:val="00562D34"/>
    <w:rsid w:val="006B5E24"/>
    <w:rsid w:val="00765BF5"/>
    <w:rsid w:val="007B4764"/>
    <w:rsid w:val="007F0649"/>
    <w:rsid w:val="008344DF"/>
    <w:rsid w:val="00837711"/>
    <w:rsid w:val="008C289B"/>
    <w:rsid w:val="008F156B"/>
    <w:rsid w:val="00991104"/>
    <w:rsid w:val="009A4E47"/>
    <w:rsid w:val="00A543DD"/>
    <w:rsid w:val="00AF7A64"/>
    <w:rsid w:val="00B92D1C"/>
    <w:rsid w:val="00CD610F"/>
    <w:rsid w:val="00D859C2"/>
    <w:rsid w:val="00DE28FD"/>
    <w:rsid w:val="00DF1C36"/>
    <w:rsid w:val="00E119FB"/>
    <w:rsid w:val="00EE4670"/>
    <w:rsid w:val="00F344DD"/>
    <w:rsid w:val="00F87A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AF1915-BBE5-4467-84FD-82EEB8C69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D1C"/>
    <w:pPr>
      <w:spacing w:after="160" w:line="259" w:lineRule="auto"/>
    </w:pPr>
    <w:rPr>
      <w:rFonts w:cs="Times New Roman"/>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rsid w:val="008F156B"/>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locked/>
    <w:rsid w:val="008F156B"/>
    <w:rPr>
      <w:rFonts w:ascii="Consolas" w:hAnsi="Consolas" w:cs="Times New Roman"/>
      <w:sz w:val="20"/>
      <w:szCs w:val="20"/>
    </w:rPr>
  </w:style>
  <w:style w:type="character" w:customStyle="1" w:styleId="rvts15">
    <w:name w:val="rvts15"/>
    <w:basedOn w:val="a0"/>
    <w:uiPriority w:val="99"/>
    <w:rsid w:val="008F156B"/>
    <w:rPr>
      <w:rFonts w:cs="Times New Roman"/>
    </w:rPr>
  </w:style>
  <w:style w:type="paragraph" w:customStyle="1" w:styleId="rvps2">
    <w:name w:val="rvps2"/>
    <w:basedOn w:val="a"/>
    <w:rsid w:val="008F156B"/>
    <w:pPr>
      <w:spacing w:before="100" w:beforeAutospacing="1" w:after="100" w:afterAutospacing="1" w:line="240" w:lineRule="auto"/>
    </w:pPr>
    <w:rPr>
      <w:rFonts w:ascii="Times New Roman" w:hAnsi="Times New Roman"/>
      <w:sz w:val="24"/>
      <w:szCs w:val="24"/>
      <w:lang w:eastAsia="ru-RU"/>
    </w:rPr>
  </w:style>
  <w:style w:type="character" w:styleId="a3">
    <w:name w:val="Hyperlink"/>
    <w:basedOn w:val="a0"/>
    <w:uiPriority w:val="99"/>
    <w:semiHidden/>
    <w:rsid w:val="008F156B"/>
    <w:rPr>
      <w:rFonts w:cs="Times New Roman"/>
      <w:color w:val="0000FF"/>
      <w:u w:val="single"/>
    </w:rPr>
  </w:style>
  <w:style w:type="character" w:customStyle="1" w:styleId="rvts37">
    <w:name w:val="rvts37"/>
    <w:basedOn w:val="a0"/>
    <w:uiPriority w:val="99"/>
    <w:rsid w:val="008F156B"/>
    <w:rPr>
      <w:rFonts w:cs="Times New Roman"/>
    </w:rPr>
  </w:style>
  <w:style w:type="paragraph" w:styleId="a4">
    <w:name w:val="Balloon Text"/>
    <w:basedOn w:val="a"/>
    <w:link w:val="a5"/>
    <w:uiPriority w:val="99"/>
    <w:semiHidden/>
    <w:unhideWhenUsed/>
    <w:rsid w:val="001A6E7F"/>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locked/>
    <w:rsid w:val="001A6E7F"/>
    <w:rPr>
      <w:rFonts w:ascii="Segoe UI" w:hAnsi="Segoe UI" w:cs="Segoe UI"/>
      <w:sz w:val="18"/>
      <w:szCs w:val="18"/>
      <w:lang w:val="ru-RU" w:eastAsia="en-US"/>
    </w:rPr>
  </w:style>
  <w:style w:type="character" w:customStyle="1" w:styleId="rvts9">
    <w:name w:val="rvts9"/>
    <w:basedOn w:val="a0"/>
    <w:rsid w:val="002A7CCB"/>
    <w:rPr>
      <w:rFonts w:cs="Times New Roman"/>
    </w:rPr>
  </w:style>
  <w:style w:type="character" w:customStyle="1" w:styleId="rvts46">
    <w:name w:val="rvts46"/>
    <w:basedOn w:val="a0"/>
    <w:rsid w:val="002A7C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314950">
      <w:marLeft w:val="0"/>
      <w:marRight w:val="0"/>
      <w:marTop w:val="0"/>
      <w:marBottom w:val="0"/>
      <w:divBdr>
        <w:top w:val="none" w:sz="0" w:space="0" w:color="auto"/>
        <w:left w:val="none" w:sz="0" w:space="0" w:color="auto"/>
        <w:bottom w:val="none" w:sz="0" w:space="0" w:color="auto"/>
        <w:right w:val="none" w:sz="0" w:space="0" w:color="auto"/>
      </w:divBdr>
    </w:div>
    <w:div w:id="481314951">
      <w:marLeft w:val="0"/>
      <w:marRight w:val="0"/>
      <w:marTop w:val="0"/>
      <w:marBottom w:val="0"/>
      <w:divBdr>
        <w:top w:val="none" w:sz="0" w:space="0" w:color="auto"/>
        <w:left w:val="none" w:sz="0" w:space="0" w:color="auto"/>
        <w:bottom w:val="none" w:sz="0" w:space="0" w:color="auto"/>
        <w:right w:val="none" w:sz="0" w:space="0" w:color="auto"/>
      </w:divBdr>
    </w:div>
    <w:div w:id="481314952">
      <w:marLeft w:val="0"/>
      <w:marRight w:val="0"/>
      <w:marTop w:val="0"/>
      <w:marBottom w:val="0"/>
      <w:divBdr>
        <w:top w:val="none" w:sz="0" w:space="0" w:color="auto"/>
        <w:left w:val="none" w:sz="0" w:space="0" w:color="auto"/>
        <w:bottom w:val="none" w:sz="0" w:space="0" w:color="auto"/>
        <w:right w:val="none" w:sz="0" w:space="0" w:color="auto"/>
      </w:divBdr>
    </w:div>
    <w:div w:id="481314953">
      <w:marLeft w:val="0"/>
      <w:marRight w:val="0"/>
      <w:marTop w:val="0"/>
      <w:marBottom w:val="0"/>
      <w:divBdr>
        <w:top w:val="none" w:sz="0" w:space="0" w:color="auto"/>
        <w:left w:val="none" w:sz="0" w:space="0" w:color="auto"/>
        <w:bottom w:val="none" w:sz="0" w:space="0" w:color="auto"/>
        <w:right w:val="none" w:sz="0" w:space="0" w:color="auto"/>
      </w:divBdr>
    </w:div>
    <w:div w:id="481314954">
      <w:marLeft w:val="0"/>
      <w:marRight w:val="0"/>
      <w:marTop w:val="0"/>
      <w:marBottom w:val="0"/>
      <w:divBdr>
        <w:top w:val="none" w:sz="0" w:space="0" w:color="auto"/>
        <w:left w:val="none" w:sz="0" w:space="0" w:color="auto"/>
        <w:bottom w:val="none" w:sz="0" w:space="0" w:color="auto"/>
        <w:right w:val="none" w:sz="0" w:space="0" w:color="auto"/>
      </w:divBdr>
    </w:div>
    <w:div w:id="481314955">
      <w:marLeft w:val="0"/>
      <w:marRight w:val="0"/>
      <w:marTop w:val="0"/>
      <w:marBottom w:val="0"/>
      <w:divBdr>
        <w:top w:val="none" w:sz="0" w:space="0" w:color="auto"/>
        <w:left w:val="none" w:sz="0" w:space="0" w:color="auto"/>
        <w:bottom w:val="none" w:sz="0" w:space="0" w:color="auto"/>
        <w:right w:val="none" w:sz="0" w:space="0" w:color="auto"/>
      </w:divBdr>
    </w:div>
    <w:div w:id="481314956">
      <w:marLeft w:val="0"/>
      <w:marRight w:val="0"/>
      <w:marTop w:val="0"/>
      <w:marBottom w:val="0"/>
      <w:divBdr>
        <w:top w:val="none" w:sz="0" w:space="0" w:color="auto"/>
        <w:left w:val="none" w:sz="0" w:space="0" w:color="auto"/>
        <w:bottom w:val="none" w:sz="0" w:space="0" w:color="auto"/>
        <w:right w:val="none" w:sz="0" w:space="0" w:color="auto"/>
      </w:divBdr>
    </w:div>
    <w:div w:id="4813149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1540-19" TargetMode="External"/><Relationship Id="rId4" Type="http://schemas.openxmlformats.org/officeDocument/2006/relationships/hyperlink" Target="https://zakon.rada.gov.ua/laws/show/154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5544</Words>
  <Characters>3161</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Ткаченко Олександр Михайлович</cp:lastModifiedBy>
  <cp:revision>2</cp:revision>
  <cp:lastPrinted>2020-01-21T16:13:00Z</cp:lastPrinted>
  <dcterms:created xsi:type="dcterms:W3CDTF">2020-02-06T11:55:00Z</dcterms:created>
  <dcterms:modified xsi:type="dcterms:W3CDTF">2020-02-06T11:55:00Z</dcterms:modified>
</cp:coreProperties>
</file>