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A162B3" w:rsidRPr="0095100D" w:rsidP="00A162B3">
      <w:pPr>
        <w:bidi w:val="0"/>
        <w:jc w:val="center"/>
        <w:rPr>
          <w:rFonts w:ascii="Times New Roman" w:hAnsi="Times New Roman"/>
          <w:b/>
          <w:bCs/>
          <w:sz w:val="28"/>
          <w:szCs w:val="28"/>
        </w:rPr>
      </w:pPr>
      <w:r w:rsidRPr="0095100D">
        <w:rPr>
          <w:rFonts w:ascii="Times New Roman" w:hAnsi="Times New Roman"/>
          <w:b/>
          <w:bCs/>
          <w:sz w:val="28"/>
          <w:szCs w:val="28"/>
        </w:rPr>
        <w:t>ПОРІВНЯЛЬНА ТАБЛИЦЯ</w:t>
      </w:r>
    </w:p>
    <w:p w:rsidR="00A162B3" w:rsidRPr="0095100D" w:rsidP="00FF4D71">
      <w:pPr>
        <w:widowControl w:val="0"/>
        <w:autoSpaceDE w:val="0"/>
        <w:autoSpaceDN w:val="0"/>
        <w:bidi w:val="0"/>
        <w:adjustRightInd w:val="0"/>
        <w:jc w:val="center"/>
        <w:rPr>
          <w:rFonts w:ascii="Times New Roman" w:hAnsi="Times New Roman"/>
          <w:b/>
          <w:sz w:val="28"/>
          <w:szCs w:val="28"/>
        </w:rPr>
      </w:pPr>
      <w:r w:rsidRPr="0095100D">
        <w:rPr>
          <w:rFonts w:ascii="Times New Roman" w:hAnsi="Times New Roman"/>
          <w:b/>
          <w:bCs/>
          <w:sz w:val="28"/>
          <w:szCs w:val="28"/>
        </w:rPr>
        <w:t xml:space="preserve">      до проекту Закону України </w:t>
      </w:r>
      <w:r w:rsidRPr="0095100D" w:rsidR="00757D88">
        <w:rPr>
          <w:rFonts w:ascii="Times New Roman" w:hAnsi="Times New Roman"/>
          <w:b/>
          <w:bCs/>
          <w:sz w:val="28"/>
          <w:szCs w:val="28"/>
        </w:rPr>
        <w:t xml:space="preserve"> «</w:t>
      </w:r>
      <w:r w:rsidRPr="0095100D" w:rsidR="00757D88">
        <w:rPr>
          <w:rFonts w:ascii="Times New Roman" w:hAnsi="Times New Roman"/>
          <w:b/>
          <w:sz w:val="28"/>
          <w:szCs w:val="28"/>
        </w:rPr>
        <w:t>Про внесення змін</w:t>
      </w:r>
      <w:r w:rsidRPr="0095100D" w:rsidR="0025327C">
        <w:rPr>
          <w:rFonts w:ascii="Times New Roman" w:hAnsi="Times New Roman"/>
          <w:b/>
          <w:sz w:val="28"/>
          <w:szCs w:val="28"/>
        </w:rPr>
        <w:t xml:space="preserve"> до Податкового кодексу України»</w:t>
      </w:r>
      <w:r w:rsidRPr="0095100D" w:rsidR="00FF4D71">
        <w:rPr>
          <w:rFonts w:ascii="Times New Roman" w:hAnsi="Times New Roman"/>
          <w:b/>
          <w:sz w:val="28"/>
          <w:szCs w:val="28"/>
        </w:rPr>
        <w:t xml:space="preserve"> щодо</w:t>
      </w:r>
      <w:r w:rsidRPr="0095100D" w:rsidR="00723D1F">
        <w:rPr>
          <w:rFonts w:ascii="Times New Roman" w:hAnsi="Times New Roman"/>
          <w:b/>
          <w:sz w:val="28"/>
          <w:szCs w:val="28"/>
        </w:rPr>
        <w:t xml:space="preserve"> диференціації  ставок </w:t>
      </w:r>
      <w:r w:rsidR="00F63A4E">
        <w:rPr>
          <w:rFonts w:ascii="Times New Roman" w:hAnsi="Times New Roman"/>
          <w:b/>
          <w:sz w:val="28"/>
          <w:szCs w:val="28"/>
        </w:rPr>
        <w:t xml:space="preserve">військового </w:t>
      </w:r>
      <w:r w:rsidRPr="0095100D" w:rsidR="0078019B">
        <w:rPr>
          <w:rFonts w:ascii="Times New Roman" w:hAnsi="Times New Roman"/>
          <w:b/>
          <w:sz w:val="28"/>
          <w:szCs w:val="28"/>
        </w:rPr>
        <w:t xml:space="preserve">збору </w:t>
      </w:r>
    </w:p>
    <w:tbl>
      <w:tblPr>
        <w:tblStyle w:val="TableNormal"/>
        <w:tblW w:w="155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7"/>
        <w:gridCol w:w="7787"/>
      </w:tblGrid>
      <w:tr>
        <w:tblPrEx>
          <w:tblW w:w="155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48"/>
          <w:tblHeader/>
        </w:trPr>
        <w:tc>
          <w:tcPr>
            <w:tcW w:w="7797" w:type="dxa"/>
            <w:tcBorders>
              <w:top w:val="single" w:sz="4" w:space="0" w:color="auto"/>
              <w:left w:val="single" w:sz="4" w:space="0" w:color="auto"/>
              <w:bottom w:val="single" w:sz="4" w:space="0" w:color="auto"/>
              <w:right w:val="single" w:sz="4" w:space="0" w:color="auto"/>
            </w:tcBorders>
            <w:textDirection w:val="lrTb"/>
            <w:vAlign w:val="top"/>
          </w:tcPr>
          <w:p w:rsidR="00A162B3" w:rsidRPr="0095100D">
            <w:pPr>
              <w:shd w:val="clear" w:color="auto" w:fill="FFFFFF"/>
              <w:bidi w:val="0"/>
              <w:spacing w:line="276" w:lineRule="auto"/>
              <w:jc w:val="center"/>
              <w:rPr>
                <w:rFonts w:ascii="Times New Roman" w:hAnsi="Times New Roman"/>
                <w:b/>
                <w:bCs/>
                <w:sz w:val="28"/>
                <w:szCs w:val="28"/>
              </w:rPr>
            </w:pPr>
            <w:r w:rsidRPr="0095100D">
              <w:rPr>
                <w:rFonts w:ascii="Times New Roman" w:hAnsi="Times New Roman"/>
                <w:b/>
                <w:bCs/>
                <w:sz w:val="28"/>
                <w:szCs w:val="28"/>
              </w:rPr>
              <w:t xml:space="preserve">Зміст положення (норми) </w:t>
            </w:r>
          </w:p>
          <w:p w:rsidR="00A162B3" w:rsidRPr="0095100D">
            <w:pPr>
              <w:shd w:val="clear" w:color="auto" w:fill="FFFFFF"/>
              <w:bidi w:val="0"/>
              <w:spacing w:line="276" w:lineRule="auto"/>
              <w:jc w:val="center"/>
              <w:rPr>
                <w:rFonts w:ascii="Times New Roman" w:hAnsi="Times New Roman"/>
                <w:b/>
                <w:bCs/>
                <w:sz w:val="28"/>
                <w:szCs w:val="28"/>
              </w:rPr>
            </w:pPr>
            <w:r w:rsidRPr="0095100D">
              <w:rPr>
                <w:rFonts w:ascii="Times New Roman" w:hAnsi="Times New Roman"/>
                <w:b/>
                <w:bCs/>
                <w:sz w:val="28"/>
                <w:szCs w:val="28"/>
              </w:rPr>
              <w:t>чинного законодавства </w:t>
            </w:r>
          </w:p>
        </w:tc>
        <w:tc>
          <w:tcPr>
            <w:tcW w:w="7787" w:type="dxa"/>
            <w:tcBorders>
              <w:top w:val="single" w:sz="4" w:space="0" w:color="auto"/>
              <w:left w:val="single" w:sz="4" w:space="0" w:color="auto"/>
              <w:bottom w:val="single" w:sz="4" w:space="0" w:color="auto"/>
              <w:right w:val="single" w:sz="4" w:space="0" w:color="auto"/>
            </w:tcBorders>
            <w:textDirection w:val="lrTb"/>
            <w:vAlign w:val="top"/>
          </w:tcPr>
          <w:p w:rsidR="00A162B3" w:rsidRPr="0095100D">
            <w:pPr>
              <w:shd w:val="clear" w:color="auto" w:fill="FFFFFF"/>
              <w:bidi w:val="0"/>
              <w:spacing w:line="276" w:lineRule="auto"/>
              <w:jc w:val="center"/>
              <w:rPr>
                <w:rFonts w:ascii="Times New Roman" w:hAnsi="Times New Roman"/>
                <w:b/>
                <w:bCs/>
                <w:sz w:val="28"/>
                <w:szCs w:val="28"/>
              </w:rPr>
            </w:pPr>
            <w:r w:rsidRPr="0095100D">
              <w:rPr>
                <w:rFonts w:ascii="Times New Roman" w:hAnsi="Times New Roman"/>
                <w:b/>
                <w:bCs/>
                <w:sz w:val="28"/>
                <w:szCs w:val="28"/>
              </w:rPr>
              <w:t xml:space="preserve">Зміст відповідного положення </w:t>
            </w:r>
          </w:p>
          <w:p w:rsidR="00A162B3" w:rsidRPr="0095100D">
            <w:pPr>
              <w:shd w:val="clear" w:color="auto" w:fill="FFFFFF"/>
              <w:bidi w:val="0"/>
              <w:spacing w:line="276" w:lineRule="auto"/>
              <w:jc w:val="center"/>
              <w:rPr>
                <w:rFonts w:ascii="Times New Roman" w:hAnsi="Times New Roman"/>
                <w:b/>
                <w:bCs/>
                <w:sz w:val="28"/>
                <w:szCs w:val="28"/>
              </w:rPr>
            </w:pPr>
            <w:r w:rsidRPr="0095100D">
              <w:rPr>
                <w:rFonts w:ascii="Times New Roman" w:hAnsi="Times New Roman"/>
                <w:b/>
                <w:bCs/>
                <w:sz w:val="28"/>
                <w:szCs w:val="28"/>
              </w:rPr>
              <w:t>(норми) проекту акта </w:t>
            </w:r>
          </w:p>
        </w:tc>
      </w:tr>
      <w:tr>
        <w:tblPrEx>
          <w:tblW w:w="15584" w:type="dxa"/>
          <w:tblInd w:w="-176" w:type="dxa"/>
          <w:tblLayout w:type="fixed"/>
          <w:tblLook w:val="01E0"/>
        </w:tblPrEx>
        <w:trPr>
          <w:trHeight w:val="448"/>
        </w:trPr>
        <w:tc>
          <w:tcPr>
            <w:tcW w:w="15584" w:type="dxa"/>
            <w:gridSpan w:val="2"/>
            <w:tcBorders>
              <w:top w:val="single" w:sz="4" w:space="0" w:color="auto"/>
              <w:left w:val="single" w:sz="4" w:space="0" w:color="auto"/>
              <w:bottom w:val="single" w:sz="4" w:space="0" w:color="auto"/>
              <w:right w:val="single" w:sz="4" w:space="0" w:color="auto"/>
            </w:tcBorders>
            <w:textDirection w:val="lrTb"/>
            <w:vAlign w:val="top"/>
          </w:tcPr>
          <w:p w:rsidR="00A162B3" w:rsidRPr="0095100D">
            <w:pPr>
              <w:shd w:val="clear" w:color="auto" w:fill="FFFFFF"/>
              <w:bidi w:val="0"/>
              <w:spacing w:line="276" w:lineRule="auto"/>
              <w:jc w:val="center"/>
              <w:rPr>
                <w:rFonts w:ascii="Times New Roman" w:hAnsi="Times New Roman"/>
                <w:b/>
                <w:bCs/>
                <w:sz w:val="28"/>
                <w:szCs w:val="28"/>
              </w:rPr>
            </w:pPr>
            <w:r w:rsidRPr="0095100D">
              <w:rPr>
                <w:rFonts w:ascii="Times New Roman" w:hAnsi="Times New Roman"/>
                <w:b/>
                <w:bCs/>
                <w:sz w:val="28"/>
                <w:szCs w:val="28"/>
              </w:rPr>
              <w:t>Податковий кодекс України</w:t>
            </w:r>
          </w:p>
        </w:tc>
      </w:tr>
      <w:tr>
        <w:tblPrEx>
          <w:tblW w:w="15584" w:type="dxa"/>
          <w:tblInd w:w="-176" w:type="dxa"/>
          <w:tblLayout w:type="fixed"/>
          <w:tblCellMar>
            <w:left w:w="0" w:type="dxa"/>
            <w:right w:w="0" w:type="dxa"/>
          </w:tblCellMar>
          <w:tblLook w:val="01E0"/>
        </w:tblPrEx>
        <w:tc>
          <w:tcPr>
            <w:tcW w:w="15584" w:type="dxa"/>
            <w:gridSpan w:val="2"/>
            <w:tcBorders>
              <w:top w:val="single" w:sz="4" w:space="0" w:color="auto"/>
              <w:left w:val="single" w:sz="4" w:space="0" w:color="auto"/>
              <w:bottom w:val="single" w:sz="4" w:space="0" w:color="auto"/>
              <w:right w:val="single" w:sz="4" w:space="0" w:color="auto"/>
            </w:tcBorders>
            <w:textDirection w:val="lrTb"/>
            <w:vAlign w:val="top"/>
          </w:tcPr>
          <w:p w:rsidR="007419A0" w:rsidRPr="0095100D" w:rsidP="0081528B">
            <w:pPr>
              <w:pStyle w:val="a"/>
              <w:bidi w:val="0"/>
              <w:spacing w:before="60" w:after="60" w:line="276" w:lineRule="auto"/>
              <w:ind w:left="113" w:right="113" w:firstLine="0"/>
              <w:jc w:val="center"/>
              <w:rPr>
                <w:rFonts w:ascii="Times New Roman" w:hAnsi="Times New Roman"/>
                <w:b/>
                <w:color w:val="auto"/>
              </w:rPr>
            </w:pPr>
            <w:r w:rsidRPr="0095100D">
              <w:rPr>
                <w:rFonts w:ascii="Times New Roman" w:hAnsi="Times New Roman"/>
                <w:b/>
                <w:color w:val="auto"/>
              </w:rPr>
              <w:t>Розділ ХХ. ПЕРЕХІДНІ ПОЛОЖЕННЯ</w:t>
            </w:r>
          </w:p>
        </w:tc>
      </w:tr>
      <w:tr>
        <w:tblPrEx>
          <w:tblW w:w="15584" w:type="dxa"/>
          <w:tblInd w:w="-176" w:type="dxa"/>
          <w:tblLayout w:type="fixed"/>
          <w:tblCellMar>
            <w:left w:w="0" w:type="dxa"/>
            <w:right w:w="0" w:type="dxa"/>
          </w:tblCellMar>
          <w:tblLook w:val="01E0"/>
        </w:tblPrEx>
        <w:tc>
          <w:tcPr>
            <w:tcW w:w="7797" w:type="dxa"/>
            <w:tcBorders>
              <w:top w:val="single" w:sz="4" w:space="0" w:color="auto"/>
              <w:left w:val="single" w:sz="4" w:space="0" w:color="auto"/>
              <w:bottom w:val="single" w:sz="4" w:space="0" w:color="auto"/>
              <w:right w:val="single" w:sz="4" w:space="0" w:color="auto"/>
            </w:tcBorders>
            <w:textDirection w:val="lrTb"/>
            <w:vAlign w:val="top"/>
          </w:tcPr>
          <w:p w:rsidR="00CC751B" w:rsidRPr="0095100D" w:rsidP="00CC751B">
            <w:pPr>
              <w:bidi w:val="0"/>
              <w:ind w:left="142" w:right="141" w:firstLine="142"/>
              <w:jc w:val="both"/>
              <w:rPr>
                <w:rFonts w:ascii="Times New Roman" w:hAnsi="Times New Roman"/>
                <w:sz w:val="28"/>
                <w:szCs w:val="28"/>
              </w:rPr>
            </w:pPr>
            <w:r w:rsidRPr="0095100D">
              <w:rPr>
                <w:rFonts w:ascii="Times New Roman" w:hAnsi="Times New Roman"/>
                <w:sz w:val="28"/>
                <w:szCs w:val="28"/>
              </w:rPr>
              <w:t>Підрозділ 10. Інші перехідні положення</w:t>
            </w:r>
          </w:p>
        </w:tc>
        <w:tc>
          <w:tcPr>
            <w:tcW w:w="7787" w:type="dxa"/>
            <w:tcBorders>
              <w:top w:val="single" w:sz="4" w:space="0" w:color="auto"/>
              <w:left w:val="single" w:sz="4" w:space="0" w:color="auto"/>
              <w:bottom w:val="single" w:sz="4" w:space="0" w:color="auto"/>
              <w:right w:val="single" w:sz="4" w:space="0" w:color="auto"/>
            </w:tcBorders>
            <w:textDirection w:val="lrTb"/>
            <w:vAlign w:val="top"/>
          </w:tcPr>
          <w:p w:rsidR="00CC751B" w:rsidRPr="0095100D" w:rsidP="00CC751B">
            <w:pPr>
              <w:bidi w:val="0"/>
              <w:ind w:left="142" w:right="141" w:firstLine="142"/>
              <w:jc w:val="both"/>
              <w:rPr>
                <w:rFonts w:ascii="Times New Roman" w:hAnsi="Times New Roman"/>
                <w:sz w:val="28"/>
                <w:szCs w:val="28"/>
              </w:rPr>
            </w:pPr>
            <w:r w:rsidRPr="0095100D">
              <w:rPr>
                <w:rFonts w:ascii="Times New Roman" w:hAnsi="Times New Roman"/>
                <w:sz w:val="28"/>
                <w:szCs w:val="28"/>
              </w:rPr>
              <w:t>Підрозділ 10. Інші перехідні положення</w:t>
            </w:r>
          </w:p>
        </w:tc>
      </w:tr>
      <w:tr>
        <w:tblPrEx>
          <w:tblW w:w="15584" w:type="dxa"/>
          <w:tblInd w:w="-176" w:type="dxa"/>
          <w:tblLayout w:type="fixed"/>
          <w:tblCellMar>
            <w:left w:w="0" w:type="dxa"/>
            <w:right w:w="0" w:type="dxa"/>
          </w:tblCellMar>
          <w:tblLook w:val="01E0"/>
        </w:tblPrEx>
        <w:trPr>
          <w:trHeight w:val="1529"/>
        </w:trPr>
        <w:tc>
          <w:tcPr>
            <w:tcW w:w="7797" w:type="dxa"/>
            <w:tcBorders>
              <w:top w:val="single" w:sz="4" w:space="0" w:color="auto"/>
              <w:left w:val="single" w:sz="4" w:space="0" w:color="auto"/>
              <w:bottom w:val="single" w:sz="4" w:space="0" w:color="auto"/>
              <w:right w:val="single" w:sz="4" w:space="0" w:color="auto"/>
            </w:tcBorders>
            <w:textDirection w:val="lrTb"/>
            <w:vAlign w:val="top"/>
          </w:tcPr>
          <w:p w:rsidR="00CD79D0" w:rsidRPr="0095100D" w:rsidP="006C42DC">
            <w:pPr>
              <w:bidi w:val="0"/>
              <w:ind w:left="142" w:right="133"/>
              <w:jc w:val="both"/>
              <w:rPr>
                <w:rFonts w:ascii="Times New Roman" w:hAnsi="Times New Roman"/>
                <w:sz w:val="28"/>
                <w:szCs w:val="28"/>
              </w:rPr>
            </w:pPr>
            <w:r w:rsidRPr="0095100D">
              <w:rPr>
                <w:rFonts w:ascii="Times New Roman" w:hAnsi="Times New Roman"/>
                <w:sz w:val="28"/>
                <w:szCs w:val="28"/>
              </w:rPr>
              <w:t>16</w:t>
            </w:r>
            <w:r w:rsidRPr="0095100D">
              <w:rPr>
                <w:rFonts w:ascii="Times New Roman" w:hAnsi="Times New Roman"/>
                <w:bCs/>
                <w:sz w:val="28"/>
                <w:szCs w:val="28"/>
                <w:vertAlign w:val="superscript"/>
              </w:rPr>
              <w:t>-1</w:t>
            </w:r>
            <w:r w:rsidRPr="0095100D">
              <w:rPr>
                <w:rFonts w:ascii="Times New Roman" w:hAnsi="Times New Roman"/>
                <w:sz w:val="28"/>
                <w:szCs w:val="28"/>
              </w:rPr>
              <w:t>. Тимчасово, до набрання чинності рішенням Верховної Ради України про завершення реформи Збройних Сил України, встановлюється військовий збір.</w:t>
            </w: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bookmarkStart w:id="0" w:name="n12202"/>
            <w:bookmarkStart w:id="1" w:name="n10057"/>
            <w:bookmarkEnd w:id="0"/>
            <w:bookmarkEnd w:id="1"/>
            <w:r w:rsidRPr="0095100D">
              <w:rPr>
                <w:rFonts w:ascii="Times New Roman" w:hAnsi="Times New Roman"/>
                <w:sz w:val="28"/>
                <w:szCs w:val="28"/>
              </w:rPr>
              <w:t>1.1. Платниками збору є особи, визначені </w:t>
            </w:r>
            <w:hyperlink r:id="rId4" w:anchor="n3612" w:history="1">
              <w:r w:rsidRPr="0095100D">
                <w:rPr>
                  <w:rStyle w:val="Hyperlink"/>
                  <w:rFonts w:ascii="Times New Roman" w:hAnsi="Times New Roman"/>
                  <w:color w:val="auto"/>
                  <w:sz w:val="28"/>
                  <w:szCs w:val="28"/>
                  <w:u w:val="none"/>
                </w:rPr>
                <w:t>пунктом 162.1</w:t>
              </w:r>
            </w:hyperlink>
            <w:r w:rsidRPr="0095100D">
              <w:rPr>
                <w:rFonts w:ascii="Times New Roman" w:hAnsi="Times New Roman"/>
                <w:sz w:val="28"/>
                <w:szCs w:val="28"/>
              </w:rPr>
              <w:t> статті 162 цього Кодексу.</w:t>
            </w:r>
          </w:p>
          <w:p w:rsidR="00CD79D0" w:rsidRPr="0095100D" w:rsidP="006C42DC">
            <w:pPr>
              <w:bidi w:val="0"/>
              <w:ind w:left="142" w:right="133"/>
              <w:jc w:val="both"/>
              <w:rPr>
                <w:rFonts w:ascii="Times New Roman" w:hAnsi="Times New Roman"/>
                <w:sz w:val="28"/>
                <w:szCs w:val="28"/>
              </w:rPr>
            </w:pPr>
            <w:bookmarkStart w:id="2" w:name="n10058"/>
            <w:bookmarkEnd w:id="2"/>
            <w:r w:rsidRPr="0095100D">
              <w:rPr>
                <w:rFonts w:ascii="Times New Roman" w:hAnsi="Times New Roman"/>
                <w:sz w:val="28"/>
                <w:szCs w:val="28"/>
              </w:rPr>
              <w:t>1.2. Об’єктом оподаткування збором є доходи, визначені </w:t>
            </w:r>
            <w:hyperlink r:id="rId4" w:anchor="n3619" w:history="1">
              <w:r w:rsidRPr="0095100D">
                <w:rPr>
                  <w:rStyle w:val="Hyperlink"/>
                  <w:rFonts w:ascii="Times New Roman" w:hAnsi="Times New Roman"/>
                  <w:color w:val="auto"/>
                  <w:sz w:val="28"/>
                  <w:szCs w:val="28"/>
                  <w:u w:val="none"/>
                </w:rPr>
                <w:t>статтею 163</w:t>
              </w:r>
            </w:hyperlink>
            <w:r w:rsidRPr="0095100D">
              <w:rPr>
                <w:rFonts w:ascii="Times New Roman" w:hAnsi="Times New Roman"/>
                <w:sz w:val="28"/>
                <w:szCs w:val="28"/>
              </w:rPr>
              <w:t> цього Кодексу.</w:t>
            </w:r>
          </w:p>
          <w:p w:rsidR="00CD79D0" w:rsidRPr="0095100D" w:rsidP="006C42DC">
            <w:pPr>
              <w:bidi w:val="0"/>
              <w:ind w:left="142" w:right="133"/>
              <w:jc w:val="both"/>
              <w:rPr>
                <w:rFonts w:ascii="Times New Roman" w:hAnsi="Times New Roman"/>
                <w:sz w:val="28"/>
                <w:szCs w:val="28"/>
              </w:rPr>
            </w:pPr>
            <w:bookmarkStart w:id="3" w:name="n12203"/>
            <w:bookmarkStart w:id="4" w:name="n10059"/>
            <w:bookmarkEnd w:id="3"/>
            <w:bookmarkEnd w:id="4"/>
            <w:r w:rsidRPr="0095100D">
              <w:rPr>
                <w:rFonts w:ascii="Times New Roman" w:hAnsi="Times New Roman"/>
                <w:sz w:val="28"/>
                <w:szCs w:val="28"/>
              </w:rPr>
              <w:t xml:space="preserve">1.3. Ставка збору становить 1,5 відсотка </w:t>
            </w:r>
            <w:r w:rsidRPr="0095100D" w:rsidR="004F4F5E">
              <w:rPr>
                <w:rFonts w:ascii="Times New Roman" w:hAnsi="Times New Roman"/>
                <w:sz w:val="28"/>
                <w:szCs w:val="28"/>
              </w:rPr>
              <w:t>від об’єкта оподаткування, визначеного підпунктом 1.2 цього пункту.</w:t>
            </w:r>
          </w:p>
          <w:p w:rsidR="00CD79D0" w:rsidRPr="0095100D" w:rsidP="006C42DC">
            <w:pPr>
              <w:bidi w:val="0"/>
              <w:ind w:left="142" w:right="133"/>
              <w:jc w:val="both"/>
              <w:rPr>
                <w:rFonts w:ascii="Times New Roman" w:hAnsi="Times New Roman"/>
                <w:sz w:val="28"/>
                <w:szCs w:val="28"/>
              </w:rPr>
            </w:pPr>
            <w:bookmarkStart w:id="5" w:name="n10060"/>
            <w:bookmarkEnd w:id="5"/>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6C42DC">
            <w:pPr>
              <w:bidi w:val="0"/>
              <w:ind w:left="142" w:right="133"/>
              <w:jc w:val="both"/>
              <w:rPr>
                <w:rFonts w:ascii="Times New Roman" w:hAnsi="Times New Roman"/>
                <w:sz w:val="28"/>
                <w:szCs w:val="28"/>
              </w:rPr>
            </w:pPr>
          </w:p>
          <w:p w:rsidR="00CD79D0" w:rsidRPr="0095100D" w:rsidP="00412F74">
            <w:pPr>
              <w:bidi w:val="0"/>
              <w:ind w:right="133"/>
              <w:jc w:val="both"/>
              <w:rPr>
                <w:rFonts w:ascii="Times New Roman" w:hAnsi="Times New Roman"/>
                <w:sz w:val="28"/>
                <w:szCs w:val="28"/>
              </w:rPr>
            </w:pPr>
          </w:p>
          <w:p w:rsidR="006E7315" w:rsidRPr="0095100D" w:rsidP="006C42DC">
            <w:pPr>
              <w:bidi w:val="0"/>
              <w:ind w:left="142" w:right="133"/>
              <w:jc w:val="both"/>
              <w:rPr>
                <w:rFonts w:ascii="Times New Roman" w:hAnsi="Times New Roman"/>
                <w:sz w:val="28"/>
                <w:szCs w:val="28"/>
              </w:rPr>
            </w:pPr>
          </w:p>
          <w:p w:rsidR="006E7315" w:rsidRPr="0095100D" w:rsidP="006C42DC">
            <w:pPr>
              <w:bidi w:val="0"/>
              <w:ind w:left="142" w:right="133"/>
              <w:jc w:val="both"/>
              <w:rPr>
                <w:rFonts w:ascii="Times New Roman" w:hAnsi="Times New Roman"/>
                <w:sz w:val="28"/>
                <w:szCs w:val="28"/>
              </w:rPr>
            </w:pPr>
          </w:p>
          <w:p w:rsidR="00CD79D0" w:rsidRPr="0095100D" w:rsidP="006E7315">
            <w:pPr>
              <w:bidi w:val="0"/>
              <w:ind w:left="135" w:right="133"/>
              <w:jc w:val="both"/>
              <w:rPr>
                <w:rFonts w:ascii="Times New Roman" w:hAnsi="Times New Roman"/>
                <w:sz w:val="28"/>
                <w:szCs w:val="28"/>
              </w:rPr>
            </w:pPr>
            <w:r w:rsidRPr="0095100D">
              <w:rPr>
                <w:rFonts w:ascii="Times New Roman" w:hAnsi="Times New Roman"/>
                <w:sz w:val="28"/>
                <w:szCs w:val="28"/>
              </w:rPr>
              <w:t>1.4. Нарахування, утримання та сплата (перерахування) збору до бюджету здійснюються у порядку, встановленому </w:t>
            </w:r>
            <w:hyperlink r:id="rId4" w:anchor="n3877" w:history="1">
              <w:r w:rsidRPr="0095100D">
                <w:rPr>
                  <w:rStyle w:val="Hyperlink"/>
                  <w:rFonts w:ascii="Times New Roman" w:hAnsi="Times New Roman"/>
                  <w:color w:val="auto"/>
                  <w:sz w:val="28"/>
                  <w:szCs w:val="28"/>
                  <w:u w:val="none"/>
                </w:rPr>
                <w:t>статтею 168</w:t>
              </w:r>
            </w:hyperlink>
            <w:r w:rsidRPr="0095100D">
              <w:rPr>
                <w:rFonts w:ascii="Times New Roman" w:hAnsi="Times New Roman"/>
                <w:sz w:val="28"/>
                <w:szCs w:val="28"/>
              </w:rPr>
              <w:t> цього Кодексу, за ставкою, визначеною підпунктом 1.3 цього пункту.</w:t>
            </w:r>
          </w:p>
          <w:p w:rsidR="00CD79D0" w:rsidRPr="0095100D" w:rsidP="006C42DC">
            <w:pPr>
              <w:bidi w:val="0"/>
              <w:ind w:left="142" w:right="133"/>
              <w:jc w:val="both"/>
              <w:rPr>
                <w:rFonts w:ascii="Times New Roman" w:hAnsi="Times New Roman"/>
                <w:sz w:val="28"/>
                <w:szCs w:val="28"/>
              </w:rPr>
            </w:pPr>
            <w:bookmarkStart w:id="6" w:name="n10061"/>
            <w:bookmarkEnd w:id="6"/>
            <w:r w:rsidRPr="0095100D">
              <w:rPr>
                <w:rFonts w:ascii="Times New Roman" w:hAnsi="Times New Roman"/>
                <w:sz w:val="28"/>
                <w:szCs w:val="28"/>
              </w:rPr>
              <w:t>1.5. Відповідальними за утримання (нарахування) та сплату (перерахування) збору до бюджету є особи, визначені у </w:t>
            </w:r>
            <w:hyperlink r:id="rId4" w:anchor="n4155" w:history="1">
              <w:r w:rsidRPr="0095100D">
                <w:rPr>
                  <w:rStyle w:val="Hyperlink"/>
                  <w:rFonts w:ascii="Times New Roman" w:hAnsi="Times New Roman"/>
                  <w:color w:val="auto"/>
                  <w:sz w:val="28"/>
                  <w:szCs w:val="28"/>
                  <w:u w:val="none"/>
                </w:rPr>
                <w:t>статті 171</w:t>
              </w:r>
            </w:hyperlink>
            <w:r w:rsidRPr="0095100D">
              <w:rPr>
                <w:rFonts w:ascii="Times New Roman" w:hAnsi="Times New Roman"/>
                <w:sz w:val="28"/>
                <w:szCs w:val="28"/>
              </w:rPr>
              <w:t> цього Кодексу.</w:t>
            </w:r>
          </w:p>
          <w:p w:rsidR="00CD79D0" w:rsidRPr="0095100D" w:rsidP="006C42DC">
            <w:pPr>
              <w:bidi w:val="0"/>
              <w:ind w:left="142" w:right="133"/>
              <w:jc w:val="both"/>
              <w:rPr>
                <w:rFonts w:ascii="Times New Roman" w:hAnsi="Times New Roman"/>
                <w:sz w:val="28"/>
                <w:szCs w:val="28"/>
              </w:rPr>
            </w:pPr>
            <w:bookmarkStart w:id="7" w:name="n10062"/>
            <w:bookmarkEnd w:id="7"/>
            <w:r w:rsidRPr="0095100D">
              <w:rPr>
                <w:rFonts w:ascii="Times New Roman" w:hAnsi="Times New Roman"/>
                <w:sz w:val="28"/>
                <w:szCs w:val="28"/>
              </w:rPr>
              <w:t>1.6. Платники збору зобов’язані забезпечувати виконання податкових зобов’язань у формі та спосіб, визначені </w:t>
            </w:r>
            <w:hyperlink r:id="rId4" w:anchor="n4264" w:history="1">
              <w:r w:rsidRPr="0095100D">
                <w:rPr>
                  <w:rStyle w:val="Hyperlink"/>
                  <w:rFonts w:ascii="Times New Roman" w:hAnsi="Times New Roman"/>
                  <w:color w:val="auto"/>
                  <w:sz w:val="28"/>
                  <w:szCs w:val="28"/>
                  <w:u w:val="none"/>
                </w:rPr>
                <w:t>статтею 176</w:t>
              </w:r>
            </w:hyperlink>
            <w:r w:rsidRPr="0095100D">
              <w:rPr>
                <w:rFonts w:ascii="Times New Roman" w:hAnsi="Times New Roman"/>
                <w:sz w:val="28"/>
                <w:szCs w:val="28"/>
              </w:rPr>
              <w:t> цього Кодексу.</w:t>
            </w:r>
          </w:p>
          <w:p w:rsidR="00CD79D0" w:rsidRPr="0095100D" w:rsidP="006C42DC">
            <w:pPr>
              <w:bidi w:val="0"/>
              <w:ind w:left="142" w:right="133"/>
              <w:jc w:val="both"/>
              <w:rPr>
                <w:rFonts w:ascii="Times New Roman" w:hAnsi="Times New Roman"/>
                <w:sz w:val="28"/>
                <w:szCs w:val="28"/>
              </w:rPr>
            </w:pPr>
            <w:bookmarkStart w:id="8" w:name="n12327"/>
            <w:bookmarkEnd w:id="8"/>
            <w:r w:rsidRPr="0095100D">
              <w:rPr>
                <w:rFonts w:ascii="Times New Roman" w:hAnsi="Times New Roman"/>
                <w:sz w:val="28"/>
                <w:szCs w:val="28"/>
              </w:rPr>
              <w:t>1.7. Звільняються від оподаткування збором доходи, що згідно з </w:t>
            </w:r>
            <w:hyperlink r:id="rId4" w:anchor="n3610" w:history="1">
              <w:r w:rsidRPr="0095100D">
                <w:rPr>
                  <w:rStyle w:val="Hyperlink"/>
                  <w:rFonts w:ascii="Times New Roman" w:hAnsi="Times New Roman"/>
                  <w:color w:val="auto"/>
                  <w:sz w:val="28"/>
                  <w:szCs w:val="28"/>
                  <w:u w:val="none"/>
                </w:rPr>
                <w:t>розділом IV</w:t>
              </w:r>
            </w:hyperlink>
            <w:r w:rsidRPr="0095100D">
              <w:rPr>
                <w:rFonts w:ascii="Times New Roman" w:hAnsi="Times New Roman"/>
                <w:sz w:val="28"/>
                <w:szCs w:val="28"/>
              </w:rPr>
              <w:t> цього Кодексу не включаються до загального оподатковуваного доходу фізичних осіб (не підлягають оподаткуванню, оподатковуються за нульовою ставкою), крім доходів, зазначених у підпунктах </w:t>
            </w:r>
            <w:hyperlink r:id="rId4" w:anchor="n3715" w:history="1">
              <w:r w:rsidRPr="0095100D">
                <w:rPr>
                  <w:rStyle w:val="Hyperlink"/>
                  <w:rFonts w:ascii="Times New Roman" w:hAnsi="Times New Roman"/>
                  <w:color w:val="auto"/>
                  <w:sz w:val="28"/>
                  <w:szCs w:val="28"/>
                  <w:u w:val="none"/>
                </w:rPr>
                <w:t>165.1.2</w:t>
              </w:r>
            </w:hyperlink>
            <w:r w:rsidRPr="0095100D">
              <w:rPr>
                <w:rFonts w:ascii="Times New Roman" w:hAnsi="Times New Roman"/>
                <w:sz w:val="28"/>
                <w:szCs w:val="28"/>
              </w:rPr>
              <w:t>, </w:t>
            </w:r>
            <w:hyperlink r:id="rId4" w:anchor="n3740" w:history="1">
              <w:r w:rsidRPr="0095100D">
                <w:rPr>
                  <w:rStyle w:val="Hyperlink"/>
                  <w:rFonts w:ascii="Times New Roman" w:hAnsi="Times New Roman"/>
                  <w:color w:val="auto"/>
                  <w:sz w:val="28"/>
                  <w:szCs w:val="28"/>
                  <w:u w:val="none"/>
                </w:rPr>
                <w:t>165.1.18</w:t>
              </w:r>
            </w:hyperlink>
            <w:r w:rsidRPr="0095100D">
              <w:rPr>
                <w:rFonts w:ascii="Times New Roman" w:hAnsi="Times New Roman"/>
                <w:sz w:val="28"/>
                <w:szCs w:val="28"/>
              </w:rPr>
              <w:t>, </w:t>
            </w:r>
            <w:hyperlink r:id="rId4" w:anchor="n3812" w:history="1">
              <w:r w:rsidRPr="0095100D">
                <w:rPr>
                  <w:rStyle w:val="Hyperlink"/>
                  <w:rFonts w:ascii="Times New Roman" w:hAnsi="Times New Roman"/>
                  <w:color w:val="auto"/>
                  <w:sz w:val="28"/>
                  <w:szCs w:val="28"/>
                  <w:u w:val="none"/>
                </w:rPr>
                <w:t>165.1.52</w:t>
              </w:r>
            </w:hyperlink>
            <w:r w:rsidRPr="0095100D">
              <w:rPr>
                <w:rFonts w:ascii="Times New Roman" w:hAnsi="Times New Roman"/>
                <w:sz w:val="28"/>
                <w:szCs w:val="28"/>
              </w:rPr>
              <w:t>  пункту 165.1 статті 165 цього Кодексу.</w:t>
            </w:r>
          </w:p>
          <w:p w:rsidR="00CD79D0" w:rsidRPr="0095100D" w:rsidP="006C42DC">
            <w:pPr>
              <w:bidi w:val="0"/>
              <w:ind w:left="142" w:right="133"/>
              <w:jc w:val="both"/>
              <w:rPr>
                <w:rFonts w:ascii="Times New Roman" w:hAnsi="Times New Roman"/>
                <w:sz w:val="28"/>
                <w:szCs w:val="28"/>
              </w:rPr>
            </w:pPr>
            <w:bookmarkStart w:id="9" w:name="n15450"/>
            <w:bookmarkStart w:id="10" w:name="n12370"/>
            <w:bookmarkEnd w:id="9"/>
            <w:bookmarkEnd w:id="10"/>
            <w:r w:rsidRPr="0095100D">
              <w:rPr>
                <w:rFonts w:ascii="Times New Roman" w:hAnsi="Times New Roman"/>
                <w:sz w:val="28"/>
                <w:szCs w:val="28"/>
              </w:rPr>
              <w:t>Тимчасово, на період проведення антитерористичної операції та/або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що здійснюються шляхом проведення операції Об’єднаних сил (ООС), не підлягають оподаткуванню військовим збором доходи у вигляді грошового забезпечення працівників правоохоронних органів, військовослужбовців та працівників Збройних Сил України, Національної гвардії України, Служби безпеки України, Служби зовнішньої розвідки України, Державної прикордонної служби України, осіб рядового, начальницького складу, військовослужбовців, працівників Міністерства внутрішніх справ України, Управління державної охорони України, Державної служби спеціального зв’язку та захисту інформації України, інших утворених відповідно до законів України військових формувань та інших осіб на період їх безпосередньої участі в антитерористичній операції та/або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що здійснюються шляхом проведення операції Об’єднаних сил (ООС).</w:t>
            </w:r>
          </w:p>
          <w:p w:rsidR="00CD79D0" w:rsidRPr="0095100D" w:rsidP="006C42DC">
            <w:pPr>
              <w:bidi w:val="0"/>
              <w:ind w:left="142" w:right="133"/>
              <w:jc w:val="both"/>
              <w:rPr>
                <w:rFonts w:ascii="Times New Roman" w:hAnsi="Times New Roman"/>
                <w:sz w:val="28"/>
                <w:szCs w:val="28"/>
              </w:rPr>
            </w:pPr>
            <w:bookmarkStart w:id="11" w:name="n12372"/>
            <w:bookmarkStart w:id="12" w:name="n12371"/>
            <w:bookmarkEnd w:id="11"/>
            <w:bookmarkEnd w:id="12"/>
            <w:r w:rsidRPr="0095100D">
              <w:rPr>
                <w:rFonts w:ascii="Times New Roman" w:hAnsi="Times New Roman"/>
                <w:sz w:val="28"/>
                <w:szCs w:val="28"/>
              </w:rPr>
              <w:t>Порядок підтвердження статусу зазначених осіб з метою застосування пільги з оподаткування військовим збором визначається Кабінетом Міністрів України.</w:t>
            </w:r>
          </w:p>
          <w:p w:rsidR="00CD79D0" w:rsidRPr="0095100D" w:rsidP="006C42DC">
            <w:pPr>
              <w:bidi w:val="0"/>
              <w:ind w:left="142" w:right="133"/>
              <w:jc w:val="both"/>
              <w:rPr>
                <w:rFonts w:ascii="Times New Roman" w:hAnsi="Times New Roman"/>
                <w:sz w:val="28"/>
                <w:szCs w:val="28"/>
              </w:rPr>
            </w:pPr>
            <w:bookmarkStart w:id="13" w:name="n12369"/>
            <w:bookmarkEnd w:id="13"/>
          </w:p>
        </w:tc>
        <w:tc>
          <w:tcPr>
            <w:tcW w:w="7787" w:type="dxa"/>
            <w:vMerge w:val="restart"/>
            <w:tcBorders>
              <w:top w:val="single" w:sz="4" w:space="0" w:color="auto"/>
              <w:left w:val="single" w:sz="4" w:space="0" w:color="auto"/>
              <w:bottom w:val="single" w:sz="4" w:space="0" w:color="auto"/>
              <w:right w:val="single" w:sz="4" w:space="0" w:color="auto"/>
            </w:tcBorders>
            <w:textDirection w:val="lrTb"/>
            <w:vAlign w:val="top"/>
          </w:tcPr>
          <w:p w:rsidR="00CD79D0" w:rsidRPr="0095100D" w:rsidP="00CC751B">
            <w:pPr>
              <w:pStyle w:val="NormalWeb"/>
              <w:bidi w:val="0"/>
              <w:spacing w:before="60"/>
              <w:ind w:left="142" w:right="143" w:firstLine="34"/>
              <w:jc w:val="both"/>
              <w:rPr>
                <w:rFonts w:ascii="Times New Roman" w:hAnsi="Times New Roman"/>
                <w:sz w:val="28"/>
                <w:szCs w:val="28"/>
              </w:rPr>
            </w:pPr>
            <w:r w:rsidRPr="0095100D">
              <w:rPr>
                <w:rFonts w:ascii="Times New Roman" w:hAnsi="Times New Roman"/>
                <w:sz w:val="28"/>
                <w:szCs w:val="28"/>
              </w:rPr>
              <w:t>16</w:t>
            </w:r>
            <w:r w:rsidRPr="0095100D">
              <w:rPr>
                <w:rFonts w:ascii="Times New Roman" w:hAnsi="Times New Roman"/>
                <w:sz w:val="28"/>
                <w:szCs w:val="28"/>
                <w:vertAlign w:val="superscript"/>
              </w:rPr>
              <w:t>1</w:t>
            </w:r>
            <w:r w:rsidRPr="0095100D">
              <w:rPr>
                <w:rFonts w:ascii="Times New Roman" w:hAnsi="Times New Roman"/>
                <w:sz w:val="28"/>
                <w:szCs w:val="28"/>
              </w:rPr>
              <w:t>. Тимчасово, до набрання чинності рішенням Верховної Ради України про завершення реформи Збройних Сил України, встановлюється військовий збір.</w:t>
            </w:r>
          </w:p>
          <w:p w:rsidR="00CD79D0" w:rsidRPr="0095100D" w:rsidP="00CC751B">
            <w:pPr>
              <w:pStyle w:val="NormalWeb"/>
              <w:bidi w:val="0"/>
              <w:spacing w:before="60"/>
              <w:ind w:left="142" w:right="143" w:firstLine="34"/>
              <w:jc w:val="both"/>
              <w:rPr>
                <w:rFonts w:ascii="Times New Roman" w:hAnsi="Times New Roman"/>
                <w:sz w:val="28"/>
                <w:szCs w:val="28"/>
              </w:rPr>
            </w:pPr>
            <w:r w:rsidRPr="0095100D">
              <w:rPr>
                <w:rFonts w:ascii="Times New Roman" w:hAnsi="Times New Roman"/>
                <w:sz w:val="28"/>
                <w:szCs w:val="28"/>
              </w:rPr>
              <w:t>1.1. Платниками збору є особи, визначені пунктом 162.1 статті 162 цього Кодексу</w:t>
            </w:r>
            <w:r w:rsidRPr="0095100D" w:rsidR="004F4F5E">
              <w:rPr>
                <w:rFonts w:ascii="Times New Roman" w:hAnsi="Times New Roman"/>
                <w:sz w:val="28"/>
                <w:szCs w:val="28"/>
              </w:rPr>
              <w:t>.</w:t>
            </w:r>
          </w:p>
          <w:p w:rsidR="004F4F5E" w:rsidRPr="0095100D" w:rsidP="004F4F5E">
            <w:pPr>
              <w:bidi w:val="0"/>
              <w:ind w:left="142" w:right="133"/>
              <w:jc w:val="both"/>
              <w:rPr>
                <w:rFonts w:ascii="Times New Roman" w:hAnsi="Times New Roman"/>
                <w:sz w:val="28"/>
                <w:szCs w:val="28"/>
              </w:rPr>
            </w:pPr>
            <w:r w:rsidRPr="0095100D">
              <w:rPr>
                <w:rFonts w:ascii="Times New Roman" w:hAnsi="Times New Roman"/>
                <w:sz w:val="28"/>
                <w:szCs w:val="28"/>
              </w:rPr>
              <w:t>1.2. Об’єктом оподаткування збором є доходи, визначені </w:t>
            </w:r>
            <w:hyperlink r:id="rId4" w:anchor="n3619" w:history="1">
              <w:r w:rsidRPr="0095100D">
                <w:rPr>
                  <w:rStyle w:val="Hyperlink"/>
                  <w:rFonts w:ascii="Times New Roman" w:hAnsi="Times New Roman"/>
                  <w:color w:val="auto"/>
                  <w:sz w:val="28"/>
                  <w:szCs w:val="28"/>
                  <w:u w:val="none"/>
                </w:rPr>
                <w:t>статтею 163</w:t>
              </w:r>
            </w:hyperlink>
            <w:r w:rsidRPr="0095100D">
              <w:rPr>
                <w:rFonts w:ascii="Times New Roman" w:hAnsi="Times New Roman"/>
                <w:sz w:val="28"/>
                <w:szCs w:val="28"/>
              </w:rPr>
              <w:t> цього Кодексу.</w:t>
            </w:r>
          </w:p>
          <w:p w:rsidR="004F4F5E" w:rsidRPr="00412F74" w:rsidP="00CC751B">
            <w:pPr>
              <w:pStyle w:val="NormalWeb"/>
              <w:bidi w:val="0"/>
              <w:spacing w:before="60"/>
              <w:ind w:left="142" w:right="143" w:firstLine="34"/>
              <w:jc w:val="both"/>
              <w:rPr>
                <w:rStyle w:val="rvts0"/>
                <w:rFonts w:ascii="Times New Roman" w:hAnsi="Times New Roman"/>
                <w:b/>
                <w:sz w:val="28"/>
                <w:szCs w:val="28"/>
              </w:rPr>
            </w:pPr>
            <w:r w:rsidRPr="00412F74" w:rsidR="00CD79D0">
              <w:rPr>
                <w:rFonts w:ascii="Times New Roman" w:hAnsi="Times New Roman"/>
                <w:b/>
                <w:sz w:val="28"/>
                <w:szCs w:val="28"/>
              </w:rPr>
              <w:t xml:space="preserve">1.3. </w:t>
            </w:r>
            <w:r w:rsidRPr="00412F74">
              <w:rPr>
                <w:rStyle w:val="rvts0"/>
                <w:rFonts w:ascii="Times New Roman" w:hAnsi="Times New Roman"/>
                <w:b/>
                <w:sz w:val="28"/>
                <w:szCs w:val="28"/>
              </w:rPr>
              <w:t xml:space="preserve">Ставки збору </w:t>
            </w:r>
            <w:r w:rsidRPr="00412F74">
              <w:rPr>
                <w:rFonts w:ascii="Times New Roman" w:hAnsi="Times New Roman"/>
                <w:b/>
                <w:sz w:val="28"/>
                <w:szCs w:val="28"/>
              </w:rPr>
              <w:t xml:space="preserve">від об’єкта оподаткування, визначеного підпунктом 1.2 цього пункту </w:t>
            </w:r>
            <w:r w:rsidRPr="00412F74">
              <w:rPr>
                <w:rStyle w:val="rvts0"/>
                <w:rFonts w:ascii="Times New Roman" w:hAnsi="Times New Roman"/>
                <w:b/>
                <w:sz w:val="28"/>
                <w:szCs w:val="28"/>
              </w:rPr>
              <w:t>встановлюються у таких розмірах:</w:t>
            </w:r>
          </w:p>
          <w:p w:rsidR="00F93546" w:rsidRPr="00412F74" w:rsidP="00412F74">
            <w:pPr>
              <w:pStyle w:val="NormalWeb"/>
              <w:bidi w:val="0"/>
              <w:spacing w:before="60"/>
              <w:ind w:left="139" w:right="143" w:firstLine="425"/>
              <w:jc w:val="both"/>
              <w:rPr>
                <w:rFonts w:ascii="Times New Roman" w:hAnsi="Times New Roman"/>
                <w:b/>
                <w:sz w:val="28"/>
                <w:szCs w:val="28"/>
              </w:rPr>
            </w:pPr>
            <w:r w:rsidRPr="00412F74">
              <w:rPr>
                <w:rStyle w:val="rvts0"/>
                <w:rFonts w:ascii="Times New Roman" w:hAnsi="Times New Roman"/>
                <w:b/>
                <w:sz w:val="28"/>
                <w:szCs w:val="28"/>
              </w:rPr>
              <w:t xml:space="preserve"> 0,5 відсотка – д</w:t>
            </w:r>
            <w:r w:rsidRPr="00412F74">
              <w:rPr>
                <w:rFonts w:ascii="Times New Roman" w:hAnsi="Times New Roman"/>
                <w:b/>
                <w:sz w:val="28"/>
                <w:szCs w:val="28"/>
              </w:rPr>
              <w:t xml:space="preserve">ля   доходів, </w:t>
            </w:r>
            <w:r w:rsidRPr="00412F74" w:rsidR="0095100D">
              <w:rPr>
                <w:rFonts w:ascii="Times New Roman" w:hAnsi="Times New Roman"/>
                <w:b/>
                <w:sz w:val="28"/>
                <w:szCs w:val="28"/>
              </w:rPr>
              <w:t>що</w:t>
            </w:r>
            <w:r w:rsidRPr="00412F74">
              <w:rPr>
                <w:rFonts w:ascii="Times New Roman" w:hAnsi="Times New Roman"/>
                <w:b/>
                <w:sz w:val="28"/>
                <w:szCs w:val="28"/>
              </w:rPr>
              <w:t xml:space="preserve"> не перевищують </w:t>
            </w:r>
            <w:r w:rsidRPr="00412F74" w:rsidR="0095100D">
              <w:rPr>
                <w:rFonts w:ascii="Times New Roman" w:hAnsi="Times New Roman"/>
                <w:b/>
                <w:sz w:val="28"/>
                <w:szCs w:val="28"/>
              </w:rPr>
              <w:t>обсяг (</w:t>
            </w:r>
            <w:r w:rsidRPr="00412F74">
              <w:rPr>
                <w:rFonts w:ascii="Times New Roman" w:hAnsi="Times New Roman"/>
                <w:b/>
                <w:sz w:val="28"/>
                <w:szCs w:val="28"/>
              </w:rPr>
              <w:t>розмір</w:t>
            </w:r>
            <w:r w:rsidRPr="00412F74" w:rsidR="0095100D">
              <w:rPr>
                <w:rFonts w:ascii="Times New Roman" w:hAnsi="Times New Roman"/>
                <w:b/>
                <w:sz w:val="28"/>
                <w:szCs w:val="28"/>
              </w:rPr>
              <w:t>)</w:t>
            </w:r>
            <w:r w:rsidRPr="00412F74">
              <w:rPr>
                <w:rFonts w:ascii="Times New Roman" w:hAnsi="Times New Roman"/>
                <w:b/>
                <w:sz w:val="28"/>
                <w:szCs w:val="28"/>
              </w:rPr>
              <w:t xml:space="preserve"> мінімальної заробітної плати;</w:t>
            </w:r>
          </w:p>
          <w:p w:rsidR="00F93546" w:rsidRPr="00412F74" w:rsidP="00412F74">
            <w:pPr>
              <w:pStyle w:val="NormalWeb"/>
              <w:bidi w:val="0"/>
              <w:spacing w:before="60"/>
              <w:ind w:left="139" w:right="143" w:firstLine="425"/>
              <w:jc w:val="both"/>
              <w:rPr>
                <w:rStyle w:val="Strong"/>
                <w:rFonts w:ascii="Times New Roman" w:hAnsi="Times New Roman"/>
                <w:b w:val="0"/>
                <w:bCs/>
                <w:sz w:val="28"/>
                <w:szCs w:val="28"/>
              </w:rPr>
            </w:pPr>
            <w:r w:rsidRPr="00412F74">
              <w:rPr>
                <w:rStyle w:val="rvts0"/>
                <w:rFonts w:ascii="Times New Roman" w:hAnsi="Times New Roman"/>
                <w:b/>
                <w:sz w:val="28"/>
                <w:szCs w:val="28"/>
              </w:rPr>
              <w:t xml:space="preserve"> 1,0 відсотка – д</w:t>
            </w:r>
            <w:r w:rsidRPr="00412F74">
              <w:rPr>
                <w:rFonts w:ascii="Times New Roman" w:hAnsi="Times New Roman"/>
                <w:b/>
                <w:sz w:val="28"/>
                <w:szCs w:val="28"/>
              </w:rPr>
              <w:t xml:space="preserve">ля   доходів в </w:t>
            </w:r>
            <w:r w:rsidRPr="00412F74" w:rsidR="0095100D">
              <w:rPr>
                <w:rFonts w:ascii="Times New Roman" w:hAnsi="Times New Roman"/>
                <w:b/>
                <w:sz w:val="28"/>
                <w:szCs w:val="28"/>
              </w:rPr>
              <w:t>обсязі</w:t>
            </w:r>
            <w:r w:rsidRPr="00412F74">
              <w:rPr>
                <w:rFonts w:ascii="Times New Roman" w:hAnsi="Times New Roman"/>
                <w:b/>
                <w:sz w:val="28"/>
                <w:szCs w:val="28"/>
              </w:rPr>
              <w:t xml:space="preserve"> від 1 </w:t>
            </w:r>
            <w:r w:rsidRPr="00412F74">
              <w:rPr>
                <w:rStyle w:val="Strong"/>
                <w:rFonts w:ascii="Times New Roman" w:hAnsi="Times New Roman"/>
                <w:bCs/>
                <w:sz w:val="28"/>
                <w:szCs w:val="28"/>
              </w:rPr>
              <w:t>мінімальної заробітної плати до 15 000 грн.;</w:t>
            </w:r>
          </w:p>
          <w:p w:rsidR="00F93546" w:rsidRPr="00412F74" w:rsidP="00412F74">
            <w:pPr>
              <w:pStyle w:val="NormalWeb"/>
              <w:bidi w:val="0"/>
              <w:spacing w:before="60"/>
              <w:ind w:left="139" w:right="143" w:firstLine="425"/>
              <w:jc w:val="both"/>
              <w:rPr>
                <w:rStyle w:val="Strong"/>
                <w:rFonts w:ascii="Times New Roman" w:hAnsi="Times New Roman"/>
                <w:b w:val="0"/>
                <w:bCs/>
                <w:sz w:val="28"/>
                <w:szCs w:val="28"/>
              </w:rPr>
            </w:pPr>
            <w:r w:rsidRPr="00412F74">
              <w:rPr>
                <w:rStyle w:val="rvts0"/>
                <w:rFonts w:ascii="Times New Roman" w:hAnsi="Times New Roman"/>
                <w:b/>
                <w:sz w:val="28"/>
                <w:szCs w:val="28"/>
              </w:rPr>
              <w:t>1,5 відсотка – д</w:t>
            </w:r>
            <w:r w:rsidRPr="00412F74">
              <w:rPr>
                <w:rFonts w:ascii="Times New Roman" w:hAnsi="Times New Roman"/>
                <w:b/>
                <w:sz w:val="28"/>
                <w:szCs w:val="28"/>
              </w:rPr>
              <w:t xml:space="preserve">ля   доходів в </w:t>
            </w:r>
            <w:r w:rsidRPr="00412F74" w:rsidR="0095100D">
              <w:rPr>
                <w:rFonts w:ascii="Times New Roman" w:hAnsi="Times New Roman"/>
                <w:b/>
                <w:sz w:val="28"/>
                <w:szCs w:val="28"/>
              </w:rPr>
              <w:t>обсязі</w:t>
            </w:r>
            <w:r w:rsidRPr="00412F74">
              <w:rPr>
                <w:rFonts w:ascii="Times New Roman" w:hAnsi="Times New Roman"/>
                <w:b/>
                <w:sz w:val="28"/>
                <w:szCs w:val="28"/>
              </w:rPr>
              <w:t xml:space="preserve"> від 15 000 грн. до  </w:t>
            </w:r>
            <w:r w:rsidRPr="00412F74" w:rsidR="0095100D">
              <w:rPr>
                <w:rStyle w:val="Strong"/>
                <w:rFonts w:ascii="Times New Roman" w:hAnsi="Times New Roman"/>
                <w:bCs/>
                <w:sz w:val="28"/>
                <w:szCs w:val="28"/>
              </w:rPr>
              <w:t>4</w:t>
            </w:r>
            <w:r w:rsidRPr="00412F74">
              <w:rPr>
                <w:rStyle w:val="Strong"/>
                <w:rFonts w:ascii="Times New Roman" w:hAnsi="Times New Roman"/>
                <w:bCs/>
                <w:sz w:val="28"/>
                <w:szCs w:val="28"/>
              </w:rPr>
              <w:t>0 000 грн.;</w:t>
            </w:r>
          </w:p>
          <w:p w:rsidR="00F93546" w:rsidRPr="00412F74" w:rsidP="00412F74">
            <w:pPr>
              <w:pStyle w:val="NormalWeb"/>
              <w:bidi w:val="0"/>
              <w:spacing w:before="60"/>
              <w:ind w:left="139" w:right="143" w:firstLine="425"/>
              <w:jc w:val="both"/>
              <w:rPr>
                <w:rStyle w:val="Strong"/>
                <w:rFonts w:ascii="Times New Roman" w:hAnsi="Times New Roman"/>
                <w:bCs/>
                <w:sz w:val="28"/>
                <w:szCs w:val="28"/>
              </w:rPr>
            </w:pPr>
            <w:r w:rsidRPr="00412F74">
              <w:rPr>
                <w:rStyle w:val="rvts0"/>
                <w:rFonts w:ascii="Times New Roman" w:hAnsi="Times New Roman"/>
                <w:b/>
                <w:sz w:val="28"/>
                <w:szCs w:val="28"/>
              </w:rPr>
              <w:t>2,5 відсотка – д</w:t>
            </w:r>
            <w:r w:rsidRPr="00412F74">
              <w:rPr>
                <w:rFonts w:ascii="Times New Roman" w:hAnsi="Times New Roman"/>
                <w:b/>
                <w:sz w:val="28"/>
                <w:szCs w:val="28"/>
              </w:rPr>
              <w:t xml:space="preserve">ля   доходів в </w:t>
            </w:r>
            <w:r w:rsidRPr="00412F74" w:rsidR="0095100D">
              <w:rPr>
                <w:rFonts w:ascii="Times New Roman" w:hAnsi="Times New Roman"/>
                <w:b/>
                <w:sz w:val="28"/>
                <w:szCs w:val="28"/>
              </w:rPr>
              <w:t>обсязі</w:t>
            </w:r>
            <w:r w:rsidRPr="00412F74">
              <w:rPr>
                <w:rFonts w:ascii="Times New Roman" w:hAnsi="Times New Roman"/>
                <w:b/>
                <w:sz w:val="28"/>
                <w:szCs w:val="28"/>
              </w:rPr>
              <w:t xml:space="preserve"> від </w:t>
            </w:r>
            <w:r w:rsidRPr="00412F74" w:rsidR="0095100D">
              <w:rPr>
                <w:rFonts w:ascii="Times New Roman" w:hAnsi="Times New Roman"/>
                <w:b/>
                <w:sz w:val="28"/>
                <w:szCs w:val="28"/>
              </w:rPr>
              <w:t>4</w:t>
            </w:r>
            <w:r w:rsidRPr="00412F74">
              <w:rPr>
                <w:rFonts w:ascii="Times New Roman" w:hAnsi="Times New Roman"/>
                <w:b/>
                <w:sz w:val="28"/>
                <w:szCs w:val="28"/>
              </w:rPr>
              <w:t xml:space="preserve">0 000 грн. до  </w:t>
            </w:r>
            <w:r w:rsidRPr="00412F74">
              <w:rPr>
                <w:rStyle w:val="Strong"/>
                <w:rFonts w:ascii="Times New Roman" w:hAnsi="Times New Roman"/>
                <w:bCs/>
                <w:sz w:val="28"/>
                <w:szCs w:val="28"/>
              </w:rPr>
              <w:t>100 000 грн.;</w:t>
            </w:r>
          </w:p>
          <w:p w:rsidR="00412F74" w:rsidP="00412F74">
            <w:pPr>
              <w:pStyle w:val="NormalWeb"/>
              <w:bidi w:val="0"/>
              <w:spacing w:before="60"/>
              <w:ind w:left="139" w:right="143" w:firstLine="425"/>
              <w:jc w:val="both"/>
              <w:rPr>
                <w:rStyle w:val="Strong"/>
                <w:rFonts w:ascii="Times New Roman" w:hAnsi="Times New Roman"/>
                <w:b w:val="0"/>
                <w:bCs/>
                <w:sz w:val="28"/>
                <w:szCs w:val="28"/>
              </w:rPr>
            </w:pPr>
            <w:r w:rsidRPr="00412F74" w:rsidR="00F93546">
              <w:rPr>
                <w:rStyle w:val="rvts0"/>
                <w:rFonts w:ascii="Times New Roman" w:hAnsi="Times New Roman"/>
                <w:b/>
                <w:sz w:val="28"/>
                <w:szCs w:val="28"/>
              </w:rPr>
              <w:t>3,5 відсотка – д</w:t>
            </w:r>
            <w:r w:rsidRPr="00412F74" w:rsidR="00F93546">
              <w:rPr>
                <w:rFonts w:ascii="Times New Roman" w:hAnsi="Times New Roman"/>
                <w:b/>
                <w:sz w:val="28"/>
                <w:szCs w:val="28"/>
              </w:rPr>
              <w:t xml:space="preserve">ля   доходів в </w:t>
            </w:r>
            <w:r w:rsidRPr="00412F74" w:rsidR="0095100D">
              <w:rPr>
                <w:rFonts w:ascii="Times New Roman" w:hAnsi="Times New Roman"/>
                <w:b/>
                <w:sz w:val="28"/>
                <w:szCs w:val="28"/>
              </w:rPr>
              <w:t>обсязі</w:t>
            </w:r>
            <w:r w:rsidRPr="00412F74" w:rsidR="00F93546">
              <w:rPr>
                <w:rFonts w:ascii="Times New Roman" w:hAnsi="Times New Roman"/>
                <w:b/>
                <w:sz w:val="28"/>
                <w:szCs w:val="28"/>
              </w:rPr>
              <w:t xml:space="preserve"> від 100 000 грн. до  </w:t>
            </w:r>
            <w:r w:rsidRPr="00412F74">
              <w:rPr>
                <w:rStyle w:val="Strong"/>
                <w:rFonts w:ascii="Times New Roman" w:hAnsi="Times New Roman"/>
                <w:bCs/>
                <w:sz w:val="28"/>
                <w:szCs w:val="28"/>
              </w:rPr>
              <w:t>500 000 грн.;</w:t>
            </w:r>
          </w:p>
          <w:p w:rsidR="00F93546" w:rsidRPr="00412F74" w:rsidP="00412F74">
            <w:pPr>
              <w:pStyle w:val="NormalWeb"/>
              <w:bidi w:val="0"/>
              <w:spacing w:before="60"/>
              <w:ind w:left="139" w:right="143" w:firstLine="425"/>
              <w:jc w:val="both"/>
              <w:rPr>
                <w:rStyle w:val="Strong"/>
                <w:rFonts w:ascii="Times New Roman" w:hAnsi="Times New Roman"/>
                <w:b w:val="0"/>
                <w:bCs/>
                <w:sz w:val="28"/>
                <w:szCs w:val="28"/>
              </w:rPr>
            </w:pPr>
            <w:r w:rsidRPr="00412F74" w:rsidR="004B3748">
              <w:rPr>
                <w:rStyle w:val="rvts0"/>
                <w:rFonts w:ascii="Times New Roman" w:hAnsi="Times New Roman"/>
                <w:b/>
                <w:sz w:val="28"/>
                <w:szCs w:val="28"/>
              </w:rPr>
              <w:t>4</w:t>
            </w:r>
            <w:r w:rsidRPr="00412F74">
              <w:rPr>
                <w:rStyle w:val="rvts0"/>
                <w:rFonts w:ascii="Times New Roman" w:hAnsi="Times New Roman"/>
                <w:b/>
                <w:sz w:val="28"/>
                <w:szCs w:val="28"/>
              </w:rPr>
              <w:t>,5 відсотка – д</w:t>
            </w:r>
            <w:r w:rsidRPr="00412F74">
              <w:rPr>
                <w:rFonts w:ascii="Times New Roman" w:hAnsi="Times New Roman"/>
                <w:b/>
                <w:sz w:val="28"/>
                <w:szCs w:val="28"/>
              </w:rPr>
              <w:t xml:space="preserve">ля   доходів в </w:t>
            </w:r>
            <w:r w:rsidRPr="00412F74" w:rsidR="0095100D">
              <w:rPr>
                <w:rFonts w:ascii="Times New Roman" w:hAnsi="Times New Roman"/>
                <w:b/>
                <w:sz w:val="28"/>
                <w:szCs w:val="28"/>
              </w:rPr>
              <w:t>обсязі</w:t>
            </w:r>
            <w:r w:rsidRPr="00412F74">
              <w:rPr>
                <w:rFonts w:ascii="Times New Roman" w:hAnsi="Times New Roman"/>
                <w:b/>
                <w:sz w:val="28"/>
                <w:szCs w:val="28"/>
              </w:rPr>
              <w:t xml:space="preserve"> від 500 000 грн. до  </w:t>
            </w:r>
            <w:r w:rsidR="00412F74">
              <w:rPr>
                <w:rFonts w:ascii="Times New Roman" w:hAnsi="Times New Roman"/>
                <w:b/>
                <w:sz w:val="28"/>
                <w:szCs w:val="28"/>
              </w:rPr>
              <w:br/>
            </w:r>
            <w:r w:rsidRPr="00412F74">
              <w:rPr>
                <w:rStyle w:val="Strong"/>
                <w:rFonts w:ascii="Times New Roman" w:hAnsi="Times New Roman"/>
                <w:bCs/>
                <w:sz w:val="28"/>
                <w:szCs w:val="28"/>
              </w:rPr>
              <w:t>1 000 000 грн.;</w:t>
            </w:r>
          </w:p>
          <w:p w:rsidR="00F93546" w:rsidRPr="00412F74" w:rsidP="00412F74">
            <w:pPr>
              <w:pStyle w:val="NormalWeb"/>
              <w:bidi w:val="0"/>
              <w:spacing w:before="60"/>
              <w:ind w:left="139" w:right="143" w:firstLine="425"/>
              <w:jc w:val="both"/>
              <w:rPr>
                <w:rStyle w:val="Strong"/>
                <w:rFonts w:ascii="Times New Roman" w:hAnsi="Times New Roman"/>
                <w:bCs/>
                <w:sz w:val="28"/>
                <w:szCs w:val="28"/>
              </w:rPr>
            </w:pPr>
            <w:r w:rsidRPr="00412F74" w:rsidR="004B3748">
              <w:rPr>
                <w:rStyle w:val="rvts0"/>
                <w:rFonts w:ascii="Times New Roman" w:hAnsi="Times New Roman"/>
                <w:b/>
                <w:sz w:val="28"/>
                <w:szCs w:val="28"/>
              </w:rPr>
              <w:t>5</w:t>
            </w:r>
            <w:r w:rsidRPr="00412F74">
              <w:rPr>
                <w:rStyle w:val="rvts0"/>
                <w:rFonts w:ascii="Times New Roman" w:hAnsi="Times New Roman"/>
                <w:b/>
                <w:sz w:val="28"/>
                <w:szCs w:val="28"/>
              </w:rPr>
              <w:t>,5 відсотка – д</w:t>
            </w:r>
            <w:r w:rsidRPr="00412F74">
              <w:rPr>
                <w:rFonts w:ascii="Times New Roman" w:hAnsi="Times New Roman"/>
                <w:b/>
                <w:sz w:val="28"/>
                <w:szCs w:val="28"/>
              </w:rPr>
              <w:t xml:space="preserve">ля   доходів в </w:t>
            </w:r>
            <w:r w:rsidRPr="00412F74" w:rsidR="0095100D">
              <w:rPr>
                <w:rFonts w:ascii="Times New Roman" w:hAnsi="Times New Roman"/>
                <w:b/>
                <w:sz w:val="28"/>
                <w:szCs w:val="28"/>
              </w:rPr>
              <w:t>обсязі</w:t>
            </w:r>
            <w:r w:rsidRPr="00412F74">
              <w:rPr>
                <w:rFonts w:ascii="Times New Roman" w:hAnsi="Times New Roman"/>
                <w:b/>
                <w:sz w:val="28"/>
                <w:szCs w:val="28"/>
              </w:rPr>
              <w:t xml:space="preserve"> від 1 000 000 грн. до  </w:t>
            </w:r>
            <w:r w:rsidR="00412F74">
              <w:rPr>
                <w:rFonts w:ascii="Times New Roman" w:hAnsi="Times New Roman"/>
                <w:b/>
                <w:sz w:val="28"/>
                <w:szCs w:val="28"/>
              </w:rPr>
              <w:br/>
            </w:r>
            <w:r w:rsidRPr="00412F74">
              <w:rPr>
                <w:rStyle w:val="Strong"/>
                <w:rFonts w:ascii="Times New Roman" w:hAnsi="Times New Roman"/>
                <w:bCs/>
                <w:sz w:val="28"/>
                <w:szCs w:val="28"/>
              </w:rPr>
              <w:t>5 000 000 грн.;</w:t>
            </w:r>
          </w:p>
          <w:p w:rsidR="00F93546" w:rsidRPr="00412F74" w:rsidP="00412F74">
            <w:pPr>
              <w:pStyle w:val="NormalWeb"/>
              <w:bidi w:val="0"/>
              <w:spacing w:before="60"/>
              <w:ind w:left="139" w:right="143" w:firstLine="425"/>
              <w:jc w:val="both"/>
              <w:rPr>
                <w:rStyle w:val="Strong"/>
                <w:rFonts w:ascii="Times New Roman" w:hAnsi="Times New Roman"/>
                <w:bCs/>
                <w:sz w:val="28"/>
                <w:szCs w:val="28"/>
              </w:rPr>
            </w:pPr>
            <w:r w:rsidRPr="00412F74" w:rsidR="004B3748">
              <w:rPr>
                <w:rStyle w:val="rvts0"/>
                <w:rFonts w:ascii="Times New Roman" w:hAnsi="Times New Roman"/>
                <w:b/>
                <w:sz w:val="28"/>
                <w:szCs w:val="28"/>
              </w:rPr>
              <w:t>6</w:t>
            </w:r>
            <w:r w:rsidRPr="00412F74">
              <w:rPr>
                <w:rStyle w:val="rvts0"/>
                <w:rFonts w:ascii="Times New Roman" w:hAnsi="Times New Roman"/>
                <w:b/>
                <w:sz w:val="28"/>
                <w:szCs w:val="28"/>
              </w:rPr>
              <w:t>,5 відсотка – д</w:t>
            </w:r>
            <w:r w:rsidRPr="00412F74">
              <w:rPr>
                <w:rFonts w:ascii="Times New Roman" w:hAnsi="Times New Roman"/>
                <w:b/>
                <w:sz w:val="28"/>
                <w:szCs w:val="28"/>
              </w:rPr>
              <w:t xml:space="preserve">ля   доходів в </w:t>
            </w:r>
            <w:r w:rsidRPr="00412F74" w:rsidR="0095100D">
              <w:rPr>
                <w:rFonts w:ascii="Times New Roman" w:hAnsi="Times New Roman"/>
                <w:b/>
                <w:sz w:val="28"/>
                <w:szCs w:val="28"/>
              </w:rPr>
              <w:t>обсязі</w:t>
            </w:r>
            <w:r w:rsidRPr="00412F74">
              <w:rPr>
                <w:rFonts w:ascii="Times New Roman" w:hAnsi="Times New Roman"/>
                <w:b/>
                <w:sz w:val="28"/>
                <w:szCs w:val="28"/>
              </w:rPr>
              <w:t xml:space="preserve"> від 5 000 000 грн. до </w:t>
            </w:r>
            <w:r w:rsidR="00412F74">
              <w:rPr>
                <w:rFonts w:ascii="Times New Roman" w:hAnsi="Times New Roman"/>
                <w:b/>
                <w:sz w:val="28"/>
                <w:szCs w:val="28"/>
              </w:rPr>
              <w:br/>
            </w:r>
            <w:r w:rsidRPr="00412F74">
              <w:rPr>
                <w:rFonts w:ascii="Times New Roman" w:hAnsi="Times New Roman"/>
                <w:b/>
                <w:sz w:val="28"/>
                <w:szCs w:val="28"/>
              </w:rPr>
              <w:t xml:space="preserve"> </w:t>
            </w:r>
            <w:r w:rsidRPr="00412F74" w:rsidR="004B3748">
              <w:rPr>
                <w:rStyle w:val="Strong"/>
                <w:rFonts w:ascii="Times New Roman" w:hAnsi="Times New Roman"/>
                <w:bCs/>
                <w:sz w:val="28"/>
                <w:szCs w:val="28"/>
              </w:rPr>
              <w:t>25</w:t>
            </w:r>
            <w:r w:rsidRPr="00412F74">
              <w:rPr>
                <w:rStyle w:val="Strong"/>
                <w:rFonts w:ascii="Times New Roman" w:hAnsi="Times New Roman"/>
                <w:bCs/>
                <w:sz w:val="28"/>
                <w:szCs w:val="28"/>
              </w:rPr>
              <w:t xml:space="preserve"> 000 000 грн.;</w:t>
            </w:r>
          </w:p>
          <w:p w:rsidR="00F93546" w:rsidRPr="00412F74" w:rsidP="00412F74">
            <w:pPr>
              <w:pStyle w:val="NormalWeb"/>
              <w:bidi w:val="0"/>
              <w:spacing w:before="60"/>
              <w:ind w:left="139" w:right="143" w:firstLine="425"/>
              <w:jc w:val="both"/>
              <w:rPr>
                <w:rStyle w:val="Strong"/>
                <w:rFonts w:ascii="Times New Roman" w:hAnsi="Times New Roman"/>
                <w:b w:val="0"/>
                <w:bCs/>
                <w:sz w:val="28"/>
                <w:szCs w:val="28"/>
              </w:rPr>
            </w:pPr>
            <w:r w:rsidRPr="00412F74" w:rsidR="004B3748">
              <w:rPr>
                <w:rStyle w:val="rvts0"/>
                <w:rFonts w:ascii="Times New Roman" w:hAnsi="Times New Roman"/>
                <w:b/>
                <w:sz w:val="28"/>
                <w:szCs w:val="28"/>
              </w:rPr>
              <w:t>8</w:t>
            </w:r>
            <w:r w:rsidRPr="00412F74">
              <w:rPr>
                <w:rStyle w:val="rvts0"/>
                <w:rFonts w:ascii="Times New Roman" w:hAnsi="Times New Roman"/>
                <w:b/>
                <w:sz w:val="28"/>
                <w:szCs w:val="28"/>
              </w:rPr>
              <w:t>,5 відсотка – д</w:t>
            </w:r>
            <w:r w:rsidRPr="00412F74">
              <w:rPr>
                <w:rFonts w:ascii="Times New Roman" w:hAnsi="Times New Roman"/>
                <w:b/>
                <w:sz w:val="28"/>
                <w:szCs w:val="28"/>
              </w:rPr>
              <w:t xml:space="preserve">ля   доходів в </w:t>
            </w:r>
            <w:r w:rsidRPr="00412F74" w:rsidR="0095100D">
              <w:rPr>
                <w:rFonts w:ascii="Times New Roman" w:hAnsi="Times New Roman"/>
                <w:b/>
                <w:sz w:val="28"/>
                <w:szCs w:val="28"/>
              </w:rPr>
              <w:t>обсязі</w:t>
            </w:r>
            <w:r w:rsidRPr="00412F74">
              <w:rPr>
                <w:rFonts w:ascii="Times New Roman" w:hAnsi="Times New Roman"/>
                <w:b/>
                <w:sz w:val="28"/>
                <w:szCs w:val="28"/>
              </w:rPr>
              <w:t xml:space="preserve"> від </w:t>
            </w:r>
            <w:r w:rsidRPr="00412F74" w:rsidR="004B3748">
              <w:rPr>
                <w:rFonts w:ascii="Times New Roman" w:hAnsi="Times New Roman"/>
                <w:b/>
                <w:sz w:val="28"/>
                <w:szCs w:val="28"/>
              </w:rPr>
              <w:t>25</w:t>
            </w:r>
            <w:r w:rsidRPr="00412F74">
              <w:rPr>
                <w:rFonts w:ascii="Times New Roman" w:hAnsi="Times New Roman"/>
                <w:b/>
                <w:sz w:val="28"/>
                <w:szCs w:val="28"/>
              </w:rPr>
              <w:t xml:space="preserve"> 000 000 грн. до  </w:t>
            </w:r>
            <w:r w:rsidRPr="00412F74" w:rsidR="004B3748">
              <w:rPr>
                <w:rStyle w:val="Strong"/>
                <w:rFonts w:ascii="Times New Roman" w:hAnsi="Times New Roman"/>
                <w:bCs/>
                <w:sz w:val="28"/>
                <w:szCs w:val="28"/>
              </w:rPr>
              <w:t>10</w:t>
            </w:r>
            <w:r w:rsidRPr="00412F74">
              <w:rPr>
                <w:rStyle w:val="Strong"/>
                <w:rFonts w:ascii="Times New Roman" w:hAnsi="Times New Roman"/>
                <w:bCs/>
                <w:sz w:val="28"/>
                <w:szCs w:val="28"/>
              </w:rPr>
              <w:t>0 000 000 грн.;</w:t>
            </w:r>
          </w:p>
          <w:p w:rsidR="00412F74" w:rsidRPr="00412F74" w:rsidP="00412F74">
            <w:pPr>
              <w:pStyle w:val="NormalWeb"/>
              <w:bidi w:val="0"/>
              <w:spacing w:before="60"/>
              <w:ind w:left="139" w:right="143" w:firstLine="425"/>
              <w:jc w:val="both"/>
              <w:rPr>
                <w:rFonts w:ascii="Times New Roman" w:hAnsi="Times New Roman"/>
                <w:b/>
                <w:bCs/>
                <w:sz w:val="28"/>
                <w:szCs w:val="28"/>
              </w:rPr>
            </w:pPr>
            <w:r w:rsidRPr="00412F74" w:rsidR="00F93546">
              <w:rPr>
                <w:rStyle w:val="rvts0"/>
                <w:rFonts w:ascii="Times New Roman" w:hAnsi="Times New Roman"/>
                <w:b/>
                <w:sz w:val="28"/>
                <w:szCs w:val="28"/>
              </w:rPr>
              <w:t>1</w:t>
            </w:r>
            <w:r w:rsidRPr="00412F74" w:rsidR="004B3748">
              <w:rPr>
                <w:rStyle w:val="rvts0"/>
                <w:rFonts w:ascii="Times New Roman" w:hAnsi="Times New Roman"/>
                <w:b/>
                <w:sz w:val="28"/>
                <w:szCs w:val="28"/>
              </w:rPr>
              <w:t>0</w:t>
            </w:r>
            <w:r w:rsidRPr="00412F74" w:rsidR="00F93546">
              <w:rPr>
                <w:rStyle w:val="rvts0"/>
                <w:rFonts w:ascii="Times New Roman" w:hAnsi="Times New Roman"/>
                <w:b/>
                <w:sz w:val="28"/>
                <w:szCs w:val="28"/>
              </w:rPr>
              <w:t>,0 відсотка – д</w:t>
            </w:r>
            <w:r w:rsidRPr="00412F74" w:rsidR="00F93546">
              <w:rPr>
                <w:rFonts w:ascii="Times New Roman" w:hAnsi="Times New Roman"/>
                <w:b/>
                <w:sz w:val="28"/>
                <w:szCs w:val="28"/>
              </w:rPr>
              <w:t xml:space="preserve">ля   доходів в </w:t>
            </w:r>
            <w:r w:rsidRPr="00412F74" w:rsidR="0095100D">
              <w:rPr>
                <w:rFonts w:ascii="Times New Roman" w:hAnsi="Times New Roman"/>
                <w:b/>
                <w:sz w:val="28"/>
                <w:szCs w:val="28"/>
              </w:rPr>
              <w:t>обсязі</w:t>
            </w:r>
            <w:r w:rsidRPr="00412F74" w:rsidR="00F93546">
              <w:rPr>
                <w:rFonts w:ascii="Times New Roman" w:hAnsi="Times New Roman"/>
                <w:b/>
                <w:sz w:val="28"/>
                <w:szCs w:val="28"/>
              </w:rPr>
              <w:t xml:space="preserve"> від 100 000 000 </w:t>
            </w:r>
            <w:r w:rsidRPr="00412F74" w:rsidR="0095100D">
              <w:rPr>
                <w:rFonts w:ascii="Times New Roman" w:hAnsi="Times New Roman"/>
                <w:b/>
                <w:sz w:val="28"/>
                <w:szCs w:val="28"/>
              </w:rPr>
              <w:t xml:space="preserve">грн. </w:t>
            </w:r>
            <w:r w:rsidRPr="00412F74" w:rsidR="00F93546">
              <w:rPr>
                <w:rFonts w:ascii="Times New Roman" w:hAnsi="Times New Roman"/>
                <w:b/>
                <w:sz w:val="28"/>
                <w:szCs w:val="28"/>
              </w:rPr>
              <w:t>і більше.</w:t>
            </w:r>
          </w:p>
          <w:p w:rsidR="00CD79D0" w:rsidRPr="0095100D" w:rsidP="00CC751B">
            <w:pPr>
              <w:pStyle w:val="NormalWeb"/>
              <w:bidi w:val="0"/>
              <w:spacing w:before="60"/>
              <w:ind w:left="142" w:right="143" w:firstLine="34"/>
              <w:jc w:val="both"/>
              <w:rPr>
                <w:rFonts w:ascii="Times New Roman" w:hAnsi="Times New Roman"/>
                <w:sz w:val="28"/>
                <w:szCs w:val="28"/>
              </w:rPr>
            </w:pPr>
            <w:r w:rsidRPr="0095100D">
              <w:rPr>
                <w:rFonts w:ascii="Times New Roman" w:hAnsi="Times New Roman"/>
                <w:sz w:val="28"/>
                <w:szCs w:val="28"/>
              </w:rPr>
              <w:t xml:space="preserve">1.4. Нарахування, утримання та сплата (перерахування) збору до бюджету здійснюється у порядку, встановленому статтею 168 цього Кодексу, за ставкою, визначеною підпунктом 1.3 цього пункту. </w:t>
            </w:r>
          </w:p>
          <w:p w:rsidR="00CD79D0" w:rsidRPr="0095100D" w:rsidP="00CC751B">
            <w:pPr>
              <w:pStyle w:val="NormalWeb"/>
              <w:bidi w:val="0"/>
              <w:spacing w:before="60"/>
              <w:ind w:left="142" w:right="143" w:firstLine="34"/>
              <w:jc w:val="both"/>
              <w:rPr>
                <w:rFonts w:ascii="Times New Roman" w:hAnsi="Times New Roman"/>
                <w:sz w:val="28"/>
                <w:szCs w:val="28"/>
              </w:rPr>
            </w:pPr>
            <w:r w:rsidRPr="0095100D">
              <w:rPr>
                <w:rFonts w:ascii="Times New Roman" w:hAnsi="Times New Roman"/>
                <w:sz w:val="28"/>
                <w:szCs w:val="28"/>
              </w:rPr>
              <w:t>1.5. Відповідальними за утримання (нарахування) та сплату (перерахування) збору до бюджету є особи, визначені у статті 171 цього Кодексу.</w:t>
            </w:r>
          </w:p>
          <w:p w:rsidR="00CD79D0" w:rsidRPr="0095100D" w:rsidP="006E7315">
            <w:pPr>
              <w:pStyle w:val="NormalWeb"/>
              <w:bidi w:val="0"/>
              <w:spacing w:before="60"/>
              <w:ind w:left="142" w:right="143" w:firstLine="34"/>
              <w:jc w:val="both"/>
              <w:rPr>
                <w:rFonts w:ascii="Times New Roman" w:hAnsi="Times New Roman"/>
                <w:sz w:val="28"/>
                <w:szCs w:val="28"/>
              </w:rPr>
            </w:pPr>
            <w:r w:rsidRPr="0095100D">
              <w:rPr>
                <w:rFonts w:ascii="Times New Roman" w:hAnsi="Times New Roman"/>
                <w:sz w:val="28"/>
                <w:szCs w:val="28"/>
              </w:rPr>
              <w:t>1.6. Платники збору зобов’язані забезпечувати виконання податкових зобов'язань у формі та спосіб, визначені статтею 176 цього Кодексу.</w:t>
            </w:r>
          </w:p>
          <w:p w:rsidR="006E7315" w:rsidRPr="0095100D" w:rsidP="006E7315">
            <w:pPr>
              <w:pStyle w:val="NormalWeb"/>
              <w:bidi w:val="0"/>
              <w:spacing w:before="60"/>
              <w:ind w:left="142" w:right="143" w:firstLine="34"/>
              <w:jc w:val="both"/>
              <w:rPr>
                <w:rFonts w:ascii="Times New Roman" w:hAnsi="Times New Roman"/>
                <w:sz w:val="28"/>
                <w:szCs w:val="28"/>
              </w:rPr>
            </w:pPr>
            <w:r w:rsidRPr="0095100D">
              <w:rPr>
                <w:rFonts w:ascii="Times New Roman" w:hAnsi="Times New Roman"/>
                <w:sz w:val="28"/>
                <w:szCs w:val="28"/>
              </w:rPr>
              <w:t>1.7. Звільняються від оподаткування збором доходи, що згідно з розділом IV цього Кодексу не включаються до загального оподатковуваного доходу фізичних осіб (не підлягають оподаткуванню, оподатковуються за нульовою ставкою), крім доходів, зазначених у підпунктах 165.1.2, 165.1.18, 165.1.52  пункту 165.1 статті 165 цього Кодексу.</w:t>
            </w:r>
          </w:p>
          <w:p w:rsidR="006E7315" w:rsidRPr="0095100D" w:rsidP="006E7315">
            <w:pPr>
              <w:pStyle w:val="NormalWeb"/>
              <w:bidi w:val="0"/>
              <w:spacing w:before="60"/>
              <w:ind w:left="142" w:right="143" w:firstLine="34"/>
              <w:jc w:val="both"/>
              <w:rPr>
                <w:rFonts w:ascii="Times New Roman" w:hAnsi="Times New Roman"/>
                <w:sz w:val="28"/>
                <w:szCs w:val="28"/>
              </w:rPr>
            </w:pPr>
            <w:r w:rsidRPr="0095100D">
              <w:rPr>
                <w:rFonts w:ascii="Times New Roman" w:hAnsi="Times New Roman"/>
                <w:sz w:val="28"/>
                <w:szCs w:val="28"/>
              </w:rPr>
              <w:t>Тимчасово, на період проведення антитерористичної операції та/або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що здійснюються шляхом проведення операції Об’єднаних сил (ООС), не підлягають оподаткуванню військовим збором доходи у вигляді грошового забезпечення працівників правоохоронних органів, військовослужбовців та працівників Збройних Сил України, Національної гвардії України, Служби безпеки України, Служби зовнішньої розвідки України, Державної прикордонної служби України, осіб рядового, начальницького складу, військовослужбовців, працівників Міністерства внутрішніх справ України, Управління державної охорони України, Державної служби спеціального зв’язку та захисту інформації України, інших утворених відповідно до законів України військових формувань та інших осіб на період їх безпосередньої участі в антитерористичній операції та/або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що здійснюються шляхом проведення операції Об’єднаних сил (ООС).</w:t>
            </w:r>
          </w:p>
          <w:p w:rsidR="00CD79D0" w:rsidRPr="0095100D" w:rsidP="00AB1766">
            <w:pPr>
              <w:pStyle w:val="NormalWeb"/>
              <w:bidi w:val="0"/>
              <w:spacing w:before="60"/>
              <w:ind w:left="142" w:right="143" w:firstLine="34"/>
              <w:jc w:val="both"/>
              <w:rPr>
                <w:rFonts w:ascii="Times New Roman" w:hAnsi="Times New Roman"/>
                <w:b/>
                <w:sz w:val="28"/>
                <w:szCs w:val="28"/>
              </w:rPr>
            </w:pPr>
            <w:r w:rsidRPr="0095100D" w:rsidR="006E7315">
              <w:rPr>
                <w:rFonts w:ascii="Times New Roman" w:hAnsi="Times New Roman"/>
                <w:sz w:val="28"/>
                <w:szCs w:val="28"/>
              </w:rPr>
              <w:t>Порядок підтвердження статусу зазначених осіб з метою застосування пільги з оподаткування військовим збором визначається Кабінетом Міністрів України.</w:t>
            </w:r>
          </w:p>
        </w:tc>
      </w:tr>
      <w:tr>
        <w:tblPrEx>
          <w:tblW w:w="15584" w:type="dxa"/>
          <w:tblInd w:w="-176" w:type="dxa"/>
          <w:tblLayout w:type="fixed"/>
          <w:tblCellMar>
            <w:left w:w="0" w:type="dxa"/>
            <w:right w:w="0" w:type="dxa"/>
          </w:tblCellMar>
          <w:tblLook w:val="01E0"/>
        </w:tblPrEx>
        <w:trPr>
          <w:trHeight w:val="898"/>
        </w:trPr>
        <w:tc>
          <w:tcPr>
            <w:tcW w:w="7797" w:type="dxa"/>
            <w:tcBorders>
              <w:top w:val="single" w:sz="4" w:space="0" w:color="auto"/>
              <w:left w:val="single" w:sz="4" w:space="0" w:color="auto"/>
              <w:bottom w:val="single" w:sz="4" w:space="0" w:color="auto"/>
              <w:right w:val="single" w:sz="4" w:space="0" w:color="auto"/>
            </w:tcBorders>
            <w:textDirection w:val="lrTb"/>
            <w:vAlign w:val="top"/>
          </w:tcPr>
          <w:p w:rsidR="00CD79D0" w:rsidRPr="0095100D" w:rsidP="00F63A4E">
            <w:pPr>
              <w:bidi w:val="0"/>
              <w:ind w:right="133"/>
              <w:jc w:val="both"/>
              <w:rPr>
                <w:rFonts w:ascii="Times New Roman" w:hAnsi="Times New Roman"/>
                <w:sz w:val="28"/>
                <w:szCs w:val="28"/>
              </w:rPr>
            </w:pPr>
          </w:p>
        </w:tc>
        <w:tc>
          <w:tcPr>
            <w:tcW w:w="7787" w:type="dxa"/>
            <w:vMerge/>
            <w:tcBorders>
              <w:top w:val="single" w:sz="4" w:space="0" w:color="auto"/>
              <w:left w:val="single" w:sz="4" w:space="0" w:color="auto"/>
              <w:bottom w:val="single" w:sz="4" w:space="0" w:color="auto"/>
              <w:right w:val="single" w:sz="4" w:space="0" w:color="auto"/>
            </w:tcBorders>
            <w:textDirection w:val="lrTb"/>
            <w:vAlign w:val="top"/>
          </w:tcPr>
          <w:p w:rsidR="00CD79D0" w:rsidRPr="0095100D" w:rsidP="00AB1766">
            <w:pPr>
              <w:pStyle w:val="NormalWeb"/>
              <w:bidi w:val="0"/>
              <w:spacing w:before="60"/>
              <w:ind w:left="142" w:right="143" w:firstLine="34"/>
              <w:jc w:val="both"/>
              <w:rPr>
                <w:rFonts w:ascii="Times New Roman" w:hAnsi="Times New Roman"/>
                <w:sz w:val="28"/>
                <w:szCs w:val="28"/>
              </w:rPr>
            </w:pPr>
          </w:p>
        </w:tc>
      </w:tr>
    </w:tbl>
    <w:p w:rsidR="00290A68" w:rsidRPr="0095100D">
      <w:pPr>
        <w:bidi w:val="0"/>
        <w:rPr>
          <w:rFonts w:ascii="Times New Roman" w:hAnsi="Times New Roman"/>
          <w:b/>
          <w:sz w:val="28"/>
          <w:szCs w:val="28"/>
        </w:rPr>
      </w:pPr>
      <w:r w:rsidRPr="0095100D" w:rsidR="00D05884">
        <w:rPr>
          <w:rFonts w:ascii="Times New Roman" w:hAnsi="Times New Roman"/>
          <w:b/>
          <w:sz w:val="28"/>
          <w:szCs w:val="28"/>
        </w:rPr>
        <w:tab/>
        <w:tab/>
      </w:r>
    </w:p>
    <w:p w:rsidR="00D05884" w:rsidRPr="0095100D">
      <w:pPr>
        <w:bidi w:val="0"/>
        <w:rPr>
          <w:rFonts w:ascii="Times New Roman" w:hAnsi="Times New Roman"/>
          <w:b/>
          <w:sz w:val="28"/>
          <w:szCs w:val="28"/>
        </w:rPr>
      </w:pPr>
      <w:r w:rsidRPr="0095100D" w:rsidR="006C42DC">
        <w:rPr>
          <w:rFonts w:ascii="Times New Roman" w:hAnsi="Times New Roman"/>
          <w:b/>
          <w:sz w:val="28"/>
          <w:szCs w:val="28"/>
        </w:rPr>
        <w:t>Народний депутат України                                                                                                                                         Савчук О.В.</w:t>
      </w:r>
      <w:r w:rsidRPr="0095100D">
        <w:rPr>
          <w:rFonts w:ascii="Times New Roman" w:hAnsi="Times New Roman"/>
          <w:b/>
          <w:sz w:val="28"/>
          <w:szCs w:val="28"/>
        </w:rPr>
        <w:tab/>
        <w:tab/>
        <w:tab/>
        <w:tab/>
        <w:tab/>
        <w:tab/>
        <w:tab/>
        <w:tab/>
        <w:tab/>
        <w:tab/>
        <w:tab/>
        <w:tab/>
        <w:tab/>
        <w:t xml:space="preserve"> </w:t>
      </w:r>
    </w:p>
    <w:sectPr w:rsidSect="00F63A4E">
      <w:headerReference w:type="default" r:id="rId5"/>
      <w:pgSz w:w="16838" w:h="11906" w:orient="landscape"/>
      <w:pgMar w:top="284" w:right="851" w:bottom="142" w:left="851" w:header="567"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FF" w:csb1="00000000"/>
  </w:font>
  <w:font w:name="Antiqua">
    <w:altName w:val="Century Gothic"/>
    <w:panose1 w:val="00000000000000000000"/>
    <w:charset w:val="00"/>
    <w:family w:val="auto"/>
    <w:pitch w:val="variable"/>
    <w:sig w:usb0="00000000" w:usb1="00000000" w:usb2="00000000" w:usb3="00000000" w:csb0="00000001" w:csb1="00000000"/>
  </w:font>
  <w:font w:name="Tahoma">
    <w:altName w:val="Arial"/>
    <w:panose1 w:val="020B0604030504040204"/>
    <w:charset w:val="CC"/>
    <w:family w:val="swiss"/>
    <w:pitch w:val="variable"/>
    <w:sig w:usb0="00000000" w:usb1="00000000" w:usb2="00000000" w:usb3="00000000" w:csb0="000101FF" w:csb1="00000000"/>
  </w:font>
  <w:font w:name="Calibri Light">
    <w:panose1 w:val="020F0302020204030204"/>
    <w:charset w:val="CC"/>
    <w:family w:val="swiss"/>
    <w:pitch w:val="variable"/>
    <w:sig w:usb0="00000000" w:usb1="00000000" w:usb2="00000000"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AB4">
    <w:pPr>
      <w:pStyle w:val="Header"/>
      <w:bidi w:val="0"/>
      <w:jc w:val="center"/>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B1FCC">
      <w:rPr>
        <w:rFonts w:ascii="Times New Roman" w:hAnsi="Times New Roman"/>
        <w:noProof/>
      </w:rPr>
      <w:t>2</w:t>
    </w:r>
    <w:r>
      <w:rPr>
        <w:rFonts w:ascii="Times New Roman" w:hAnsi="Times New Roman"/>
      </w:rPr>
      <w:fldChar w:fldCharType="end"/>
    </w:r>
  </w:p>
  <w:p w:rsidR="006F7AB4">
    <w:pPr>
      <w:pStyle w:val="Header"/>
      <w:bidi w:val="0"/>
      <w:rPr>
        <w:rFonts w:ascii="Times New Roman" w:hAnsi="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oNotTrackMoves/>
  <w:defaultTabStop w:val="708"/>
  <w:hyphenationZone w:val="425"/>
  <w:characterSpacingControl w:val="doNotCompress"/>
  <w:compat>
    <w:doNotUseIndentAsNumberingTabStop/>
    <w:allowSpaceOfSameStyleInTable/>
    <w:splitPgBreakAndParaMark/>
    <w:useAnsiKerningPairs/>
  </w:compat>
  <w:rsids>
    <w:rsidRoot w:val="00A162B3"/>
    <w:rsid w:val="00002884"/>
    <w:rsid w:val="00010593"/>
    <w:rsid w:val="00012AAB"/>
    <w:rsid w:val="00012F1E"/>
    <w:rsid w:val="0002539B"/>
    <w:rsid w:val="00035CBA"/>
    <w:rsid w:val="000368DF"/>
    <w:rsid w:val="000422CB"/>
    <w:rsid w:val="00053581"/>
    <w:rsid w:val="00057B8E"/>
    <w:rsid w:val="00065D7D"/>
    <w:rsid w:val="000722AC"/>
    <w:rsid w:val="00076BB6"/>
    <w:rsid w:val="000770F6"/>
    <w:rsid w:val="00082E9A"/>
    <w:rsid w:val="000A19B3"/>
    <w:rsid w:val="000A259E"/>
    <w:rsid w:val="000C3F5A"/>
    <w:rsid w:val="000E12D3"/>
    <w:rsid w:val="000F32F4"/>
    <w:rsid w:val="00104343"/>
    <w:rsid w:val="00121918"/>
    <w:rsid w:val="0012590F"/>
    <w:rsid w:val="00130609"/>
    <w:rsid w:val="00132EF6"/>
    <w:rsid w:val="001368AB"/>
    <w:rsid w:val="00156A4F"/>
    <w:rsid w:val="00160F18"/>
    <w:rsid w:val="0016311D"/>
    <w:rsid w:val="00182A4B"/>
    <w:rsid w:val="00195D0C"/>
    <w:rsid w:val="001A0A7D"/>
    <w:rsid w:val="001C2C61"/>
    <w:rsid w:val="001C3CEB"/>
    <w:rsid w:val="001D30B8"/>
    <w:rsid w:val="001F4C87"/>
    <w:rsid w:val="00202455"/>
    <w:rsid w:val="00204FC1"/>
    <w:rsid w:val="00206D58"/>
    <w:rsid w:val="00213C43"/>
    <w:rsid w:val="00220069"/>
    <w:rsid w:val="0022061A"/>
    <w:rsid w:val="0022233D"/>
    <w:rsid w:val="00226BEC"/>
    <w:rsid w:val="002305D4"/>
    <w:rsid w:val="00237AB8"/>
    <w:rsid w:val="0025327C"/>
    <w:rsid w:val="00254ECC"/>
    <w:rsid w:val="00256837"/>
    <w:rsid w:val="00274187"/>
    <w:rsid w:val="002748A8"/>
    <w:rsid w:val="00276B4D"/>
    <w:rsid w:val="002811C9"/>
    <w:rsid w:val="00290A68"/>
    <w:rsid w:val="00291EF7"/>
    <w:rsid w:val="00294D22"/>
    <w:rsid w:val="002A0AF8"/>
    <w:rsid w:val="002A7E0B"/>
    <w:rsid w:val="002B0211"/>
    <w:rsid w:val="002B6225"/>
    <w:rsid w:val="002D20E9"/>
    <w:rsid w:val="002E1898"/>
    <w:rsid w:val="002E2A1F"/>
    <w:rsid w:val="00303205"/>
    <w:rsid w:val="003110C3"/>
    <w:rsid w:val="00331036"/>
    <w:rsid w:val="00332713"/>
    <w:rsid w:val="003508FA"/>
    <w:rsid w:val="00367714"/>
    <w:rsid w:val="003758DB"/>
    <w:rsid w:val="00390043"/>
    <w:rsid w:val="003A6A57"/>
    <w:rsid w:val="003B0F58"/>
    <w:rsid w:val="003B4758"/>
    <w:rsid w:val="003B5C7B"/>
    <w:rsid w:val="003D173D"/>
    <w:rsid w:val="003E0C08"/>
    <w:rsid w:val="003E6501"/>
    <w:rsid w:val="003F3A48"/>
    <w:rsid w:val="00412F74"/>
    <w:rsid w:val="00442F68"/>
    <w:rsid w:val="00444719"/>
    <w:rsid w:val="00445932"/>
    <w:rsid w:val="00452506"/>
    <w:rsid w:val="00454371"/>
    <w:rsid w:val="0046340B"/>
    <w:rsid w:val="00487024"/>
    <w:rsid w:val="00491176"/>
    <w:rsid w:val="004911A7"/>
    <w:rsid w:val="00492262"/>
    <w:rsid w:val="00494B1D"/>
    <w:rsid w:val="004B0AAB"/>
    <w:rsid w:val="004B1720"/>
    <w:rsid w:val="004B3748"/>
    <w:rsid w:val="004B3BCA"/>
    <w:rsid w:val="004B4300"/>
    <w:rsid w:val="004B4F4F"/>
    <w:rsid w:val="004B76B7"/>
    <w:rsid w:val="004D6BD2"/>
    <w:rsid w:val="004F42AF"/>
    <w:rsid w:val="004F4F5E"/>
    <w:rsid w:val="004F736B"/>
    <w:rsid w:val="004F7633"/>
    <w:rsid w:val="0051185A"/>
    <w:rsid w:val="005158F3"/>
    <w:rsid w:val="00532BB4"/>
    <w:rsid w:val="005378A4"/>
    <w:rsid w:val="00550E4B"/>
    <w:rsid w:val="0055592E"/>
    <w:rsid w:val="0055793A"/>
    <w:rsid w:val="00564BC9"/>
    <w:rsid w:val="00566014"/>
    <w:rsid w:val="00574098"/>
    <w:rsid w:val="005768C2"/>
    <w:rsid w:val="005814C8"/>
    <w:rsid w:val="005851AA"/>
    <w:rsid w:val="0058631C"/>
    <w:rsid w:val="005A1F26"/>
    <w:rsid w:val="005A6FC0"/>
    <w:rsid w:val="005D3B1D"/>
    <w:rsid w:val="005D3F95"/>
    <w:rsid w:val="005D4107"/>
    <w:rsid w:val="005D57E6"/>
    <w:rsid w:val="005F60F8"/>
    <w:rsid w:val="005F6E8A"/>
    <w:rsid w:val="0060005E"/>
    <w:rsid w:val="006057A0"/>
    <w:rsid w:val="00620014"/>
    <w:rsid w:val="0063411A"/>
    <w:rsid w:val="00646154"/>
    <w:rsid w:val="00650630"/>
    <w:rsid w:val="00657FA7"/>
    <w:rsid w:val="00665A13"/>
    <w:rsid w:val="006765D5"/>
    <w:rsid w:val="00683272"/>
    <w:rsid w:val="00685893"/>
    <w:rsid w:val="006954D0"/>
    <w:rsid w:val="0069643C"/>
    <w:rsid w:val="006A46F5"/>
    <w:rsid w:val="006A7A6B"/>
    <w:rsid w:val="006B139B"/>
    <w:rsid w:val="006B186C"/>
    <w:rsid w:val="006B1FCC"/>
    <w:rsid w:val="006C42DC"/>
    <w:rsid w:val="006C5247"/>
    <w:rsid w:val="006C69C1"/>
    <w:rsid w:val="006D1A16"/>
    <w:rsid w:val="006E7315"/>
    <w:rsid w:val="006F06AE"/>
    <w:rsid w:val="006F6012"/>
    <w:rsid w:val="006F7446"/>
    <w:rsid w:val="006F7AB4"/>
    <w:rsid w:val="00701E23"/>
    <w:rsid w:val="00715F33"/>
    <w:rsid w:val="00715FA3"/>
    <w:rsid w:val="00723D1F"/>
    <w:rsid w:val="00733E99"/>
    <w:rsid w:val="00735636"/>
    <w:rsid w:val="007419A0"/>
    <w:rsid w:val="00753D51"/>
    <w:rsid w:val="00757D88"/>
    <w:rsid w:val="00776081"/>
    <w:rsid w:val="0078019B"/>
    <w:rsid w:val="00792800"/>
    <w:rsid w:val="007C6678"/>
    <w:rsid w:val="007D242B"/>
    <w:rsid w:val="007D6723"/>
    <w:rsid w:val="007E4006"/>
    <w:rsid w:val="007F6DAD"/>
    <w:rsid w:val="00800978"/>
    <w:rsid w:val="00801511"/>
    <w:rsid w:val="0081528B"/>
    <w:rsid w:val="00815F99"/>
    <w:rsid w:val="00817815"/>
    <w:rsid w:val="008252D4"/>
    <w:rsid w:val="00826023"/>
    <w:rsid w:val="00855A09"/>
    <w:rsid w:val="00863AE3"/>
    <w:rsid w:val="00877D0F"/>
    <w:rsid w:val="00883551"/>
    <w:rsid w:val="00887112"/>
    <w:rsid w:val="008A33FF"/>
    <w:rsid w:val="008A386B"/>
    <w:rsid w:val="008A3F5B"/>
    <w:rsid w:val="008B1D49"/>
    <w:rsid w:val="008C478E"/>
    <w:rsid w:val="008D6B7D"/>
    <w:rsid w:val="008F296B"/>
    <w:rsid w:val="0090011A"/>
    <w:rsid w:val="00904E83"/>
    <w:rsid w:val="00913BFA"/>
    <w:rsid w:val="009327DC"/>
    <w:rsid w:val="00937440"/>
    <w:rsid w:val="0095100D"/>
    <w:rsid w:val="00963E2D"/>
    <w:rsid w:val="00982D13"/>
    <w:rsid w:val="00993711"/>
    <w:rsid w:val="009A306D"/>
    <w:rsid w:val="009A6263"/>
    <w:rsid w:val="009B026D"/>
    <w:rsid w:val="009B37BF"/>
    <w:rsid w:val="009D40B4"/>
    <w:rsid w:val="009F26B0"/>
    <w:rsid w:val="00A109CC"/>
    <w:rsid w:val="00A121F0"/>
    <w:rsid w:val="00A162B3"/>
    <w:rsid w:val="00A210C8"/>
    <w:rsid w:val="00A26F49"/>
    <w:rsid w:val="00A27B45"/>
    <w:rsid w:val="00A436E8"/>
    <w:rsid w:val="00A474B8"/>
    <w:rsid w:val="00A5408F"/>
    <w:rsid w:val="00A6294C"/>
    <w:rsid w:val="00A664A1"/>
    <w:rsid w:val="00A8726F"/>
    <w:rsid w:val="00A936C3"/>
    <w:rsid w:val="00AB1766"/>
    <w:rsid w:val="00AB7286"/>
    <w:rsid w:val="00AF2792"/>
    <w:rsid w:val="00B070AA"/>
    <w:rsid w:val="00B07F9C"/>
    <w:rsid w:val="00B10166"/>
    <w:rsid w:val="00B36BFD"/>
    <w:rsid w:val="00B90CFE"/>
    <w:rsid w:val="00B93F56"/>
    <w:rsid w:val="00BB062D"/>
    <w:rsid w:val="00BB2DC7"/>
    <w:rsid w:val="00BD21C0"/>
    <w:rsid w:val="00BE2E55"/>
    <w:rsid w:val="00C01474"/>
    <w:rsid w:val="00C2484F"/>
    <w:rsid w:val="00C35EDE"/>
    <w:rsid w:val="00C47AB0"/>
    <w:rsid w:val="00C60924"/>
    <w:rsid w:val="00C71272"/>
    <w:rsid w:val="00C7527D"/>
    <w:rsid w:val="00C775C1"/>
    <w:rsid w:val="00C92738"/>
    <w:rsid w:val="00CC0A3D"/>
    <w:rsid w:val="00CC751B"/>
    <w:rsid w:val="00CD67A2"/>
    <w:rsid w:val="00CD79D0"/>
    <w:rsid w:val="00CE17CC"/>
    <w:rsid w:val="00CF5EE1"/>
    <w:rsid w:val="00CF72D1"/>
    <w:rsid w:val="00D05884"/>
    <w:rsid w:val="00D10BD8"/>
    <w:rsid w:val="00D13810"/>
    <w:rsid w:val="00D330B0"/>
    <w:rsid w:val="00D405DF"/>
    <w:rsid w:val="00D41E9F"/>
    <w:rsid w:val="00D52775"/>
    <w:rsid w:val="00D71376"/>
    <w:rsid w:val="00DB7336"/>
    <w:rsid w:val="00DB7E90"/>
    <w:rsid w:val="00DC3EEF"/>
    <w:rsid w:val="00DC5FB8"/>
    <w:rsid w:val="00DD5602"/>
    <w:rsid w:val="00DE1890"/>
    <w:rsid w:val="00DE253A"/>
    <w:rsid w:val="00DF19A3"/>
    <w:rsid w:val="00DF3329"/>
    <w:rsid w:val="00E23F10"/>
    <w:rsid w:val="00E32C9B"/>
    <w:rsid w:val="00E674B4"/>
    <w:rsid w:val="00E72F0F"/>
    <w:rsid w:val="00E91F66"/>
    <w:rsid w:val="00EA2EFC"/>
    <w:rsid w:val="00EA47A7"/>
    <w:rsid w:val="00EB0265"/>
    <w:rsid w:val="00EB31C4"/>
    <w:rsid w:val="00ED07BF"/>
    <w:rsid w:val="00ED3B33"/>
    <w:rsid w:val="00ED4521"/>
    <w:rsid w:val="00EE06FD"/>
    <w:rsid w:val="00EF6D25"/>
    <w:rsid w:val="00EF70DD"/>
    <w:rsid w:val="00F0249A"/>
    <w:rsid w:val="00F14506"/>
    <w:rsid w:val="00F248DB"/>
    <w:rsid w:val="00F30D1F"/>
    <w:rsid w:val="00F3172A"/>
    <w:rsid w:val="00F63A4E"/>
    <w:rsid w:val="00F64052"/>
    <w:rsid w:val="00F65363"/>
    <w:rsid w:val="00F6699C"/>
    <w:rsid w:val="00F67B7E"/>
    <w:rsid w:val="00F93546"/>
    <w:rsid w:val="00F97442"/>
    <w:rsid w:val="00FB1449"/>
    <w:rsid w:val="00FC7464"/>
    <w:rsid w:val="00FD22AB"/>
    <w:rsid w:val="00FE07E6"/>
    <w:rsid w:val="00FE18B1"/>
    <w:rsid w:val="00FE320B"/>
    <w:rsid w:val="00FE401B"/>
    <w:rsid w:val="00FF4D71"/>
    <w:rsid w:val="00FF5A9D"/>
    <w:rsid w:val="00FF7659"/>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6B7D"/>
    <w:pPr>
      <w:framePr w:wrap="auto"/>
      <w:widowControl/>
      <w:autoSpaceDE/>
      <w:autoSpaceDN/>
      <w:adjustRightInd/>
      <w:ind w:left="0" w:right="0"/>
      <w:jc w:val="left"/>
      <w:textAlignment w:val="auto"/>
    </w:pPr>
    <w:rPr>
      <w:rFonts w:cs="Times New Roman"/>
      <w:sz w:val="24"/>
      <w:szCs w:val="24"/>
      <w:rtl w:val="0"/>
      <w:cs w:val="0"/>
      <w:lang w:val="uk-UA" w:eastAsia="uk-UA" w:bidi="ar-SA"/>
    </w:rPr>
  </w:style>
  <w:style w:type="character" w:default="1" w:styleId="DefaultParagraphFont">
    <w:name w:val="Default Paragraph Font"/>
  </w:style>
  <w:style w:type="table" w:default="1" w:styleId="TableNormal">
    <w:name w:val="Normal Table"/>
    <w:semiHidden/>
    <w:tblPr>
      <w:tblInd w:w="0" w:type="dxa"/>
      <w:tblCellMar>
        <w:top w:w="0" w:type="dxa"/>
        <w:left w:w="108" w:type="dxa"/>
        <w:bottom w:w="0" w:type="dxa"/>
        <w:right w:w="108" w:type="dxa"/>
      </w:tblCellMar>
    </w:tblPr>
  </w:style>
  <w:style w:type="paragraph" w:customStyle="1" w:styleId="a">
    <w:name w:val="! ТХТ"/>
    <w:rsid w:val="008F296B"/>
    <w:pPr>
      <w:framePr w:wrap="auto"/>
      <w:widowControl w:val="0"/>
      <w:autoSpaceDE/>
      <w:autoSpaceDN/>
      <w:adjustRightInd/>
      <w:spacing w:before="111" w:after="111"/>
      <w:ind w:left="0" w:right="0" w:firstLine="720"/>
      <w:jc w:val="both"/>
      <w:textAlignment w:val="auto"/>
    </w:pPr>
    <w:rPr>
      <w:rFonts w:cs="Times New Roman"/>
      <w:color w:val="000000"/>
      <w:sz w:val="28"/>
      <w:szCs w:val="28"/>
      <w:rtl w:val="0"/>
      <w:cs w:val="0"/>
      <w:lang w:val="uk-UA" w:eastAsia="ru-RU" w:bidi="ar-SA"/>
    </w:rPr>
  </w:style>
  <w:style w:type="paragraph" w:styleId="BalloonText">
    <w:name w:val="Balloon Text"/>
    <w:basedOn w:val="Normal"/>
    <w:link w:val="a1"/>
    <w:semiHidden/>
    <w:rsid w:val="00EA2EFC"/>
    <w:pPr>
      <w:jc w:val="left"/>
    </w:pPr>
    <w:rPr>
      <w:rFonts w:ascii="Tahoma" w:hAnsi="Tahoma"/>
      <w:sz w:val="16"/>
      <w:szCs w:val="16"/>
      <w:lang w:val="ru-RU" w:eastAsia="ru-RU"/>
    </w:rPr>
  </w:style>
  <w:style w:type="paragraph" w:customStyle="1" w:styleId="a0">
    <w:name w:val="Нормальний текст"/>
    <w:basedOn w:val="Normal"/>
    <w:rsid w:val="00801511"/>
    <w:pPr>
      <w:spacing w:before="120"/>
      <w:ind w:firstLine="567"/>
      <w:jc w:val="both"/>
    </w:pPr>
    <w:rPr>
      <w:rFonts w:ascii="Antiqua" w:hAnsi="Antiqua"/>
      <w:sz w:val="26"/>
      <w:szCs w:val="20"/>
      <w:lang w:eastAsia="ru-RU"/>
    </w:rPr>
  </w:style>
  <w:style w:type="paragraph" w:customStyle="1" w:styleId="rvps2">
    <w:name w:val="rvps2"/>
    <w:basedOn w:val="Normal"/>
    <w:rsid w:val="00665A13"/>
    <w:pPr>
      <w:spacing w:before="100" w:beforeAutospacing="1" w:after="100" w:afterAutospacing="1"/>
      <w:jc w:val="left"/>
    </w:pPr>
  </w:style>
  <w:style w:type="character" w:customStyle="1" w:styleId="a1">
    <w:name w:val="Текст у виносці Знак"/>
    <w:link w:val="BalloonText"/>
    <w:semiHidden/>
    <w:locked/>
    <w:rsid w:val="00EA2EFC"/>
    <w:rPr>
      <w:rFonts w:ascii="Tahoma" w:hAnsi="Tahoma" w:cs="Tahoma"/>
      <w:sz w:val="16"/>
    </w:rPr>
  </w:style>
  <w:style w:type="paragraph" w:styleId="NormalWeb">
    <w:name w:val="Normal (Web)"/>
    <w:basedOn w:val="Normal"/>
    <w:rsid w:val="00801511"/>
    <w:pPr>
      <w:jc w:val="left"/>
    </w:pPr>
  </w:style>
  <w:style w:type="character" w:customStyle="1" w:styleId="apple-converted-space">
    <w:name w:val="apple-converted-space"/>
    <w:rsid w:val="00574098"/>
  </w:style>
  <w:style w:type="character" w:styleId="Hyperlink">
    <w:name w:val="Hyperlink"/>
    <w:semiHidden/>
    <w:rsid w:val="00574098"/>
    <w:rPr>
      <w:color w:val="0000FF"/>
      <w:u w:val="single"/>
    </w:rPr>
  </w:style>
  <w:style w:type="character" w:customStyle="1" w:styleId="rvts96">
    <w:name w:val="rvts96"/>
    <w:rsid w:val="00574098"/>
  </w:style>
  <w:style w:type="paragraph" w:styleId="ListParagraph">
    <w:name w:val="List Paragraph"/>
    <w:basedOn w:val="Normal"/>
    <w:rsid w:val="00DF19A3"/>
    <w:pPr>
      <w:spacing w:after="160" w:line="259" w:lineRule="auto"/>
      <w:ind w:left="720"/>
      <w:contextualSpacing/>
      <w:jc w:val="left"/>
    </w:pPr>
    <w:rPr>
      <w:rFonts w:ascii="Calibri" w:eastAsia="Calibri" w:hAnsi="Calibri"/>
      <w:sz w:val="22"/>
      <w:szCs w:val="22"/>
      <w:lang w:val="ru-RU" w:eastAsia="en-US"/>
    </w:rPr>
  </w:style>
  <w:style w:type="paragraph" w:styleId="Header">
    <w:name w:val="header"/>
    <w:basedOn w:val="Normal"/>
    <w:link w:val="a2"/>
    <w:rsid w:val="00B070AA"/>
    <w:pPr>
      <w:tabs>
        <w:tab w:val="center" w:pos="4819"/>
        <w:tab w:val="right" w:pos="9639"/>
      </w:tabs>
      <w:jc w:val="left"/>
    </w:pPr>
    <w:rPr>
      <w:lang w:val="ru-RU" w:eastAsia="ru-RU"/>
    </w:rPr>
  </w:style>
  <w:style w:type="table" w:styleId="TableGrid">
    <w:name w:val="Table Grid"/>
    <w:basedOn w:val="TableNormal"/>
    <w:rsid w:val="00B93F56"/>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a3"/>
    <w:rsid w:val="00B070AA"/>
    <w:pPr>
      <w:tabs>
        <w:tab w:val="center" w:pos="4819"/>
        <w:tab w:val="right" w:pos="9639"/>
      </w:tabs>
      <w:jc w:val="left"/>
    </w:pPr>
    <w:rPr>
      <w:lang w:val="ru-RU" w:eastAsia="ru-RU"/>
    </w:rPr>
  </w:style>
  <w:style w:type="character" w:customStyle="1" w:styleId="rvts0">
    <w:name w:val="rvts0"/>
    <w:rsid w:val="00076BB6"/>
  </w:style>
  <w:style w:type="character" w:customStyle="1" w:styleId="a2">
    <w:name w:val="Верхній колонтитул Знак"/>
    <w:link w:val="Header"/>
    <w:locked/>
    <w:rsid w:val="00B070AA"/>
    <w:rPr>
      <w:rFonts w:ascii="Times New Roman" w:hAnsi="Times New Roman" w:cs="Times New Roman"/>
      <w:sz w:val="24"/>
    </w:rPr>
  </w:style>
  <w:style w:type="character" w:customStyle="1" w:styleId="a3">
    <w:name w:val="Нижній колонтитул Знак"/>
    <w:link w:val="Footer"/>
    <w:locked/>
    <w:rsid w:val="00B070AA"/>
    <w:rPr>
      <w:rFonts w:ascii="Times New Roman" w:hAnsi="Times New Roman" w:cs="Times New Roman"/>
      <w:sz w:val="24"/>
    </w:rPr>
  </w:style>
  <w:style w:type="paragraph" w:customStyle="1" w:styleId="rvps12">
    <w:name w:val="rvps12"/>
    <w:basedOn w:val="Normal"/>
    <w:rsid w:val="00D10BD8"/>
    <w:pPr>
      <w:spacing w:before="100" w:beforeAutospacing="1" w:after="100" w:afterAutospacing="1"/>
      <w:jc w:val="left"/>
    </w:pPr>
  </w:style>
  <w:style w:type="paragraph" w:customStyle="1" w:styleId="rvps14">
    <w:name w:val="rvps14"/>
    <w:basedOn w:val="Normal"/>
    <w:rsid w:val="00D10BD8"/>
    <w:pPr>
      <w:spacing w:before="100" w:beforeAutospacing="1" w:after="100" w:afterAutospacing="1"/>
      <w:jc w:val="left"/>
    </w:pPr>
  </w:style>
  <w:style w:type="character" w:customStyle="1" w:styleId="rvts82">
    <w:name w:val="rvts82"/>
    <w:rsid w:val="00065D7D"/>
  </w:style>
  <w:style w:type="character" w:customStyle="1" w:styleId="rvts46">
    <w:name w:val="rvts46"/>
    <w:rsid w:val="00065D7D"/>
  </w:style>
  <w:style w:type="character" w:styleId="Strong">
    <w:name w:val="Strong"/>
    <w:qFormat/>
    <w:locked/>
    <w:rsid w:val="0063411A"/>
    <w:rPr>
      <w:b/>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zakon.rada.gov.ua/laws/show/2755-17" TargetMode="Externa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1</TotalTime>
  <Pages>3</Pages>
  <Words>4610</Words>
  <Characters>2628</Characters>
  <Application>Microsoft Office Word</Application>
  <DocSecurity>0</DocSecurity>
  <Lines>0</Lines>
  <Paragraphs>0</Paragraphs>
  <ScaleCrop>false</ScaleCrop>
  <Company>Minfin</Company>
  <LinksUpToDate>false</LinksUpToDate>
  <CharactersWithSpaces>7224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Користувач Windows</dc:creator>
  <cp:lastModifiedBy>Користувач Windows</cp:lastModifiedBy>
  <cp:revision>2</cp:revision>
  <cp:lastPrinted>2019-10-21T14:53:00Z</cp:lastPrinted>
  <dcterms:created xsi:type="dcterms:W3CDTF">2019-10-24T15:37:00Z</dcterms:created>
  <dcterms:modified xsi:type="dcterms:W3CDTF">2019-10-24T15:37:00Z</dcterms:modified>
</cp:coreProperties>
</file>