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719AA" w14:textId="77777777" w:rsidR="00293627" w:rsidRDefault="00293627" w:rsidP="00852E6B">
      <w:pPr>
        <w:pStyle w:val="32"/>
        <w:keepNext/>
        <w:keepLines/>
        <w:shd w:val="clear" w:color="auto" w:fill="auto"/>
        <w:tabs>
          <w:tab w:val="right" w:pos="15703"/>
        </w:tabs>
        <w:spacing w:before="0" w:after="298" w:line="310" w:lineRule="exact"/>
        <w:ind w:left="2840"/>
        <w:rPr>
          <w:sz w:val="28"/>
          <w:szCs w:val="28"/>
          <w:lang w:val="uk-UA"/>
        </w:rPr>
      </w:pPr>
      <w:bookmarkStart w:id="0" w:name="bookmark1"/>
      <w:bookmarkStart w:id="1" w:name="_GoBack"/>
      <w:bookmarkEnd w:id="1"/>
    </w:p>
    <w:p w14:paraId="0F8ACDA3" w14:textId="77777777" w:rsidR="00293627" w:rsidRPr="00434907" w:rsidRDefault="00293627" w:rsidP="002936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4907">
        <w:rPr>
          <w:rFonts w:ascii="Times New Roman" w:hAnsi="Times New Roman" w:cs="Times New Roman"/>
          <w:b/>
          <w:bCs/>
          <w:sz w:val="28"/>
          <w:szCs w:val="28"/>
        </w:rPr>
        <w:t>ПОРІВНЯЛЬНА ТАБЛИЦЯ</w:t>
      </w:r>
    </w:p>
    <w:p w14:paraId="073E4555" w14:textId="77777777" w:rsidR="00434907" w:rsidRPr="00434907" w:rsidRDefault="00434907" w:rsidP="002936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436DE3" w14:textId="3CA12B49" w:rsidR="00293627" w:rsidRPr="00434907" w:rsidRDefault="00293627" w:rsidP="00293627">
      <w:pPr>
        <w:pStyle w:val="af1"/>
        <w:spacing w:after="0" w:line="240" w:lineRule="auto"/>
        <w:ind w:firstLine="567"/>
        <w:jc w:val="center"/>
        <w:rPr>
          <w:b/>
          <w:bCs/>
          <w:color w:val="000000"/>
        </w:rPr>
      </w:pPr>
      <w:r w:rsidRPr="00434907">
        <w:rPr>
          <w:b/>
          <w:bCs/>
          <w:color w:val="000000"/>
        </w:rPr>
        <w:t>до проекту Закону України про внесення змін до</w:t>
      </w:r>
    </w:p>
    <w:p w14:paraId="14DC724B" w14:textId="77777777" w:rsidR="00293627" w:rsidRPr="00434907" w:rsidRDefault="00775803" w:rsidP="00293627">
      <w:pPr>
        <w:pStyle w:val="af1"/>
        <w:spacing w:after="0" w:line="240" w:lineRule="auto"/>
        <w:ind w:firstLine="567"/>
        <w:jc w:val="center"/>
        <w:rPr>
          <w:b/>
        </w:rPr>
      </w:pPr>
      <w:r w:rsidRPr="00434907">
        <w:t xml:space="preserve"> </w:t>
      </w:r>
      <w:r w:rsidRPr="00434907">
        <w:rPr>
          <w:b/>
        </w:rPr>
        <w:t xml:space="preserve">Закону України </w:t>
      </w:r>
      <w:r w:rsidR="00AB49F7" w:rsidRPr="00434907">
        <w:rPr>
          <w:b/>
          <w:lang w:val="ru-RU"/>
        </w:rPr>
        <w:t>“</w:t>
      </w:r>
      <w:r w:rsidRPr="00434907">
        <w:rPr>
          <w:b/>
        </w:rPr>
        <w:t>Про Національний банк України</w:t>
      </w:r>
      <w:r w:rsidR="00AB49F7" w:rsidRPr="00434907">
        <w:rPr>
          <w:b/>
          <w:lang w:val="ru-RU"/>
        </w:rPr>
        <w:t>”</w:t>
      </w:r>
      <w:bookmarkEnd w:id="0"/>
      <w:r w:rsidR="003909C7" w:rsidRPr="00434907">
        <w:rPr>
          <w:b/>
        </w:rPr>
        <w:t xml:space="preserve">      </w:t>
      </w:r>
    </w:p>
    <w:p w14:paraId="16F0FCDB" w14:textId="68196429" w:rsidR="009524EF" w:rsidRPr="00434907" w:rsidRDefault="003909C7" w:rsidP="00293627">
      <w:pPr>
        <w:pStyle w:val="af1"/>
        <w:spacing w:after="0" w:line="240" w:lineRule="auto"/>
        <w:ind w:firstLine="567"/>
        <w:jc w:val="center"/>
      </w:pPr>
      <w:r w:rsidRPr="00434907">
        <w:t xml:space="preserve">                 </w:t>
      </w:r>
      <w:r w:rsidR="00551E67" w:rsidRPr="00434907">
        <w:tab/>
      </w:r>
    </w:p>
    <w:tbl>
      <w:tblPr>
        <w:tblW w:w="147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2"/>
        <w:gridCol w:w="7365"/>
      </w:tblGrid>
      <w:tr w:rsidR="00780EE2" w:rsidRPr="002858DD" w14:paraId="0CE55E75" w14:textId="77777777" w:rsidTr="00434907">
        <w:trPr>
          <w:trHeight w:val="745"/>
          <w:tblHeader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1322" w14:textId="77777777" w:rsidR="00780EE2" w:rsidRPr="006408E4" w:rsidRDefault="00780EE2" w:rsidP="002A578E">
            <w:pPr>
              <w:pStyle w:val="23"/>
              <w:shd w:val="clear" w:color="auto" w:fill="auto"/>
              <w:spacing w:line="240" w:lineRule="auto"/>
              <w:ind w:left="1600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7D452" w14:textId="77777777" w:rsidR="00780EE2" w:rsidRPr="006408E4" w:rsidRDefault="00780EE2">
            <w:pPr>
              <w:pStyle w:val="23"/>
              <w:shd w:val="clear" w:color="auto" w:fill="auto"/>
              <w:spacing w:line="240" w:lineRule="auto"/>
              <w:ind w:left="980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Редакція з урахуванням змін</w:t>
            </w:r>
          </w:p>
        </w:tc>
      </w:tr>
      <w:tr w:rsidR="00780EE2" w:rsidRPr="002858DD" w14:paraId="4BF34989" w14:textId="77777777" w:rsidTr="00434907">
        <w:trPr>
          <w:trHeight w:val="2495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56460" w14:textId="77777777" w:rsidR="00780EE2" w:rsidRPr="00E20025" w:rsidRDefault="00780EE2" w:rsidP="006408E4">
            <w:pPr>
              <w:pStyle w:val="3"/>
              <w:spacing w:before="0" w:beforeAutospacing="0" w:after="60" w:afterAutospacing="0"/>
              <w:jc w:val="center"/>
              <w:rPr>
                <w:sz w:val="28"/>
                <w:szCs w:val="28"/>
              </w:rPr>
            </w:pPr>
            <w:r w:rsidRPr="006408E4">
              <w:rPr>
                <w:rFonts w:eastAsia="Times New Roman"/>
                <w:b w:val="0"/>
                <w:sz w:val="28"/>
                <w:szCs w:val="28"/>
              </w:rPr>
              <w:t>Стаття 1. Терміни та поняття</w:t>
            </w:r>
          </w:p>
          <w:p w14:paraId="0AC8A7B8" w14:textId="77777777" w:rsidR="00780EE2" w:rsidRPr="006408E4" w:rsidRDefault="00780EE2" w:rsidP="006408E4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rPr>
                <w:strike/>
                <w:sz w:val="28"/>
                <w:szCs w:val="28"/>
                <w:lang w:val="uk-UA"/>
              </w:rPr>
            </w:pPr>
            <w:r w:rsidRPr="00B70FDF">
              <w:rPr>
                <w:strike/>
                <w:sz w:val="28"/>
                <w:szCs w:val="28"/>
                <w:lang w:val="uk-UA"/>
              </w:rPr>
              <w:t>Грошово-кредитні зобов'язання</w:t>
            </w:r>
            <w:r w:rsidRPr="006408E4">
              <w:rPr>
                <w:strike/>
                <w:sz w:val="28"/>
                <w:szCs w:val="28"/>
                <w:lang w:val="uk-UA"/>
              </w:rPr>
              <w:t xml:space="preserve"> - валюта в обігу, фінансові вимоги до Національного банку України, за винятком зобов'язань Національного банку України перед Кабінетом Міністрів України та міжнародними фінансовими організаціями;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70673" w14:textId="77777777" w:rsidR="00780EE2" w:rsidRPr="006408E4" w:rsidRDefault="00780EE2" w:rsidP="00795C67">
            <w:pPr>
              <w:pStyle w:val="3"/>
              <w:spacing w:before="0" w:beforeAutospacing="0" w:after="60" w:afterAutospacing="0"/>
              <w:jc w:val="center"/>
              <w:rPr>
                <w:rFonts w:eastAsia="Times New Roman"/>
                <w:b w:val="0"/>
                <w:sz w:val="28"/>
                <w:szCs w:val="28"/>
              </w:rPr>
            </w:pPr>
            <w:r w:rsidRPr="006408E4">
              <w:rPr>
                <w:rFonts w:eastAsia="Times New Roman"/>
                <w:b w:val="0"/>
                <w:sz w:val="28"/>
                <w:szCs w:val="28"/>
              </w:rPr>
              <w:t>Стаття 1. Терміни та поняття</w:t>
            </w:r>
          </w:p>
          <w:p w14:paraId="2A1F43FE" w14:textId="77777777" w:rsidR="00780EE2" w:rsidRDefault="00780EE2" w:rsidP="001700F7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0C80356D" w14:textId="77777777" w:rsidR="00780EE2" w:rsidRDefault="00780EE2" w:rsidP="001700F7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2D8E5B62" w14:textId="77777777" w:rsidR="00780EE2" w:rsidRPr="00266FCC" w:rsidRDefault="00780EE2" w:rsidP="001700F7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266FCC">
              <w:rPr>
                <w:b/>
                <w:sz w:val="28"/>
                <w:szCs w:val="28"/>
                <w:lang w:val="uk-UA"/>
              </w:rPr>
              <w:t>Виключити.</w:t>
            </w:r>
          </w:p>
        </w:tc>
      </w:tr>
      <w:tr w:rsidR="00780EE2" w:rsidRPr="002858DD" w14:paraId="0ECF9CAD" w14:textId="77777777" w:rsidTr="00434907">
        <w:trPr>
          <w:trHeight w:val="801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8E4CF" w14:textId="77777777" w:rsidR="00780EE2" w:rsidRPr="002830C0" w:rsidRDefault="00780EE2" w:rsidP="00434907">
            <w:pPr>
              <w:pStyle w:val="3"/>
              <w:spacing w:before="0" w:beforeAutospacing="0" w:after="60" w:afterAutospacing="0"/>
              <w:jc w:val="both"/>
              <w:rPr>
                <w:rFonts w:eastAsia="Times New Roman"/>
                <w:b w:val="0"/>
                <w:sz w:val="28"/>
                <w:szCs w:val="28"/>
              </w:rPr>
            </w:pPr>
            <w:r w:rsidRPr="002830C0">
              <w:rPr>
                <w:rFonts w:eastAsia="Times New Roman"/>
                <w:b w:val="0"/>
                <w:sz w:val="28"/>
                <w:szCs w:val="28"/>
              </w:rPr>
              <w:t xml:space="preserve">Стаття 5. Кошторис адміністративних витрат </w:t>
            </w:r>
          </w:p>
          <w:p w14:paraId="204EC373" w14:textId="77777777" w:rsidR="00780EE2" w:rsidRPr="001700F7" w:rsidRDefault="00780EE2" w:rsidP="00434907">
            <w:pPr>
              <w:pStyle w:val="af0"/>
              <w:jc w:val="both"/>
              <w:rPr>
                <w:rFonts w:eastAsia="Times New Roman"/>
                <w:b/>
                <w:sz w:val="28"/>
                <w:szCs w:val="28"/>
                <w:highlight w:val="yellow"/>
              </w:rPr>
            </w:pPr>
            <w:r w:rsidRPr="002830C0">
              <w:rPr>
                <w:sz w:val="28"/>
                <w:szCs w:val="28"/>
              </w:rPr>
              <w:t xml:space="preserve">          Національний банк України включає до кошторису адміністративних витрат </w:t>
            </w:r>
            <w:r w:rsidRPr="0091535E">
              <w:rPr>
                <w:sz w:val="28"/>
                <w:szCs w:val="28"/>
              </w:rPr>
              <w:t>прогнозовані</w:t>
            </w:r>
            <w:r w:rsidRPr="002830C0">
              <w:rPr>
                <w:sz w:val="28"/>
                <w:szCs w:val="28"/>
              </w:rPr>
              <w:t xml:space="preserve"> витрати</w:t>
            </w:r>
            <w:r w:rsidRPr="002830C0">
              <w:rPr>
                <w:strike/>
                <w:sz w:val="28"/>
                <w:szCs w:val="28"/>
              </w:rPr>
              <w:t xml:space="preserve">, в тому числі амортизаційні відрахування, резерви під знецінення активів, </w:t>
            </w:r>
            <w:r w:rsidRPr="002830C0">
              <w:rPr>
                <w:sz w:val="28"/>
                <w:szCs w:val="28"/>
              </w:rPr>
              <w:t>інвестиції, що спрямовуються на забезпечення діяльності Національного банку України, а також витрати на виплату винагороди членам Ради Національного банку за виконання ними своїх функцій з деталізацією розміру, посад та періодичності їх виплат.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DBFC" w14:textId="77777777" w:rsidR="00780EE2" w:rsidRPr="002830C0" w:rsidRDefault="00780EE2" w:rsidP="00434907">
            <w:pPr>
              <w:pStyle w:val="3"/>
              <w:spacing w:before="0" w:beforeAutospacing="0" w:after="60" w:afterAutospacing="0"/>
              <w:jc w:val="both"/>
              <w:rPr>
                <w:rFonts w:eastAsia="Times New Roman"/>
                <w:b w:val="0"/>
                <w:sz w:val="28"/>
                <w:szCs w:val="28"/>
              </w:rPr>
            </w:pPr>
            <w:r w:rsidRPr="002830C0">
              <w:rPr>
                <w:rFonts w:eastAsia="Times New Roman"/>
                <w:b w:val="0"/>
                <w:sz w:val="28"/>
                <w:szCs w:val="28"/>
              </w:rPr>
              <w:t xml:space="preserve">Стаття 5. Кошторис адміністративних витрат </w:t>
            </w:r>
          </w:p>
          <w:p w14:paraId="6A8017C7" w14:textId="77777777" w:rsidR="00780EE2" w:rsidRPr="001700F7" w:rsidRDefault="00780EE2" w:rsidP="00434907">
            <w:pPr>
              <w:pStyle w:val="3"/>
              <w:spacing w:before="0" w:beforeAutospacing="0" w:after="60" w:afterAutospacing="0"/>
              <w:jc w:val="both"/>
              <w:rPr>
                <w:rFonts w:eastAsia="Times New Roman"/>
                <w:b w:val="0"/>
                <w:sz w:val="28"/>
                <w:szCs w:val="28"/>
                <w:highlight w:val="yellow"/>
              </w:rPr>
            </w:pPr>
          </w:p>
          <w:p w14:paraId="4F1D2733" w14:textId="1AF780E4" w:rsidR="00780EE2" w:rsidRDefault="00780EE2" w:rsidP="00434907">
            <w:pPr>
              <w:pStyle w:val="3"/>
              <w:spacing w:before="0" w:beforeAutospacing="0" w:after="60" w:afterAutospacing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</w:t>
            </w:r>
            <w:r w:rsidRPr="002830C0">
              <w:rPr>
                <w:b w:val="0"/>
                <w:sz w:val="28"/>
                <w:szCs w:val="28"/>
              </w:rPr>
              <w:t xml:space="preserve">Національний банк України включає до кошторису адміністративних витрат </w:t>
            </w:r>
            <w:r>
              <w:rPr>
                <w:b w:val="0"/>
                <w:sz w:val="28"/>
                <w:szCs w:val="28"/>
              </w:rPr>
              <w:t xml:space="preserve">прогнозовані </w:t>
            </w:r>
            <w:r w:rsidRPr="002830C0">
              <w:rPr>
                <w:b w:val="0"/>
                <w:sz w:val="28"/>
                <w:szCs w:val="28"/>
              </w:rPr>
              <w:t>витрати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2830C0">
              <w:rPr>
                <w:b w:val="0"/>
                <w:sz w:val="28"/>
                <w:szCs w:val="28"/>
              </w:rPr>
              <w:t>та інвестиції, що спрямовуються на забезпечення діяльності Національного банку України,</w:t>
            </w:r>
            <w:r w:rsidRPr="002830C0">
              <w:rPr>
                <w:sz w:val="28"/>
                <w:szCs w:val="28"/>
              </w:rPr>
              <w:t xml:space="preserve"> </w:t>
            </w:r>
            <w:r w:rsidRPr="002830C0">
              <w:rPr>
                <w:b w:val="0"/>
                <w:sz w:val="28"/>
                <w:szCs w:val="28"/>
              </w:rPr>
              <w:t>а також витрати на виплату винагороди членам Ради Національного банку за виконання ними своїх функцій з деталізацією розміру, посад та періодичності їх виплат.</w:t>
            </w:r>
          </w:p>
          <w:p w14:paraId="2C75BDAC" w14:textId="77777777" w:rsidR="00780EE2" w:rsidRPr="002830C0" w:rsidRDefault="00780EE2" w:rsidP="00434907">
            <w:pPr>
              <w:pStyle w:val="3"/>
              <w:spacing w:before="0" w:beforeAutospacing="0" w:after="60" w:afterAutospacing="0"/>
              <w:jc w:val="both"/>
              <w:rPr>
                <w:rFonts w:eastAsia="Times New Roman"/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 xml:space="preserve">       </w:t>
            </w:r>
            <w:r w:rsidRPr="002830C0">
              <w:rPr>
                <w:sz w:val="28"/>
                <w:szCs w:val="28"/>
              </w:rPr>
              <w:t xml:space="preserve">Критерії віднесення </w:t>
            </w:r>
            <w:r>
              <w:rPr>
                <w:sz w:val="28"/>
                <w:szCs w:val="28"/>
              </w:rPr>
              <w:t xml:space="preserve">прогнозованих </w:t>
            </w:r>
            <w:r w:rsidRPr="002830C0">
              <w:rPr>
                <w:sz w:val="28"/>
                <w:szCs w:val="28"/>
              </w:rPr>
              <w:t xml:space="preserve">витрат до </w:t>
            </w:r>
            <w:r>
              <w:rPr>
                <w:sz w:val="28"/>
                <w:szCs w:val="28"/>
              </w:rPr>
              <w:t xml:space="preserve">кошторису адміністративних витрат </w:t>
            </w:r>
            <w:r w:rsidRPr="002830C0">
              <w:rPr>
                <w:sz w:val="28"/>
                <w:szCs w:val="28"/>
              </w:rPr>
              <w:t>затверджуються Радою Національного банку за поданням Правління</w:t>
            </w:r>
            <w:r>
              <w:rPr>
                <w:sz w:val="28"/>
                <w:szCs w:val="28"/>
              </w:rPr>
              <w:t xml:space="preserve"> </w:t>
            </w:r>
            <w:r w:rsidRPr="002830C0">
              <w:rPr>
                <w:sz w:val="28"/>
                <w:szCs w:val="28"/>
              </w:rPr>
              <w:t>Національного банку</w:t>
            </w:r>
            <w:r>
              <w:rPr>
                <w:sz w:val="28"/>
                <w:szCs w:val="28"/>
              </w:rPr>
              <w:t>.</w:t>
            </w:r>
          </w:p>
        </w:tc>
      </w:tr>
      <w:tr w:rsidR="00780EE2" w:rsidRPr="00F16F86" w14:paraId="4B0C50B8" w14:textId="77777777" w:rsidTr="00434907">
        <w:trPr>
          <w:trHeight w:val="1835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A5C5C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8" w:right="133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lastRenderedPageBreak/>
              <w:t>Стаття 5</w:t>
            </w:r>
            <w:r w:rsidRPr="006408E4">
              <w:rPr>
                <w:sz w:val="28"/>
                <w:szCs w:val="28"/>
                <w:vertAlign w:val="superscript"/>
                <w:lang w:val="uk-UA"/>
              </w:rPr>
              <w:t>і</w:t>
            </w:r>
            <w:r w:rsidRPr="006408E4">
              <w:rPr>
                <w:sz w:val="28"/>
                <w:szCs w:val="28"/>
                <w:lang w:val="uk-UA"/>
              </w:rPr>
              <w:t>. Прибуток до розподілу</w:t>
            </w:r>
          </w:p>
          <w:p w14:paraId="01760227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 xml:space="preserve">Національний банк після підтвердження зовнішнім аудитом та затвердження Радою Національного банку річної фінансової звітності за рахунок прибутку до розподілу забезпечує формування загальних резервів у </w:t>
            </w:r>
            <w:r w:rsidRPr="00ED0D0B">
              <w:rPr>
                <w:i/>
                <w:strike/>
                <w:sz w:val="28"/>
                <w:szCs w:val="28"/>
                <w:lang w:val="uk-UA"/>
              </w:rPr>
              <w:t>розмірі</w:t>
            </w:r>
            <w:r w:rsidRPr="00ED0D0B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ED0D0B">
              <w:rPr>
                <w:i/>
                <w:strike/>
                <w:sz w:val="28"/>
                <w:szCs w:val="28"/>
                <w:lang w:val="uk-UA"/>
              </w:rPr>
              <w:t>10 відсотків від обсягу грошово-кредитних зобов'язань Національного банку</w:t>
            </w:r>
            <w:r w:rsidRPr="00ED0D0B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D45A5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8" w:right="133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Стаття 5</w:t>
            </w:r>
            <w:r w:rsidRPr="006408E4">
              <w:rPr>
                <w:sz w:val="28"/>
                <w:szCs w:val="28"/>
                <w:vertAlign w:val="superscript"/>
                <w:lang w:val="uk-UA"/>
              </w:rPr>
              <w:t>і</w:t>
            </w:r>
            <w:r w:rsidRPr="006408E4">
              <w:rPr>
                <w:sz w:val="28"/>
                <w:szCs w:val="28"/>
                <w:lang w:val="uk-UA"/>
              </w:rPr>
              <w:t>. Прибуток до розподілу</w:t>
            </w:r>
          </w:p>
          <w:p w14:paraId="74A59C9D" w14:textId="77777777" w:rsidR="00780EE2" w:rsidRPr="006408E4" w:rsidRDefault="00780EE2" w:rsidP="00802B22">
            <w:pPr>
              <w:pStyle w:val="1"/>
              <w:shd w:val="clear" w:color="auto" w:fill="auto"/>
              <w:spacing w:beforeLines="60" w:before="144" w:line="240" w:lineRule="auto"/>
              <w:ind w:left="-15" w:right="133" w:firstLine="567"/>
              <w:rPr>
                <w:b/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Національний банк після підтвердження зовнішнім аудитом та затвердження Радою Національного банку річної фінансової звітності за рахунок прибутку до розподілу забезпечує формування</w:t>
            </w:r>
            <w:r>
              <w:rPr>
                <w:sz w:val="28"/>
                <w:szCs w:val="28"/>
                <w:lang w:val="uk-UA"/>
              </w:rPr>
              <w:t>/розформування</w:t>
            </w:r>
            <w:r w:rsidRPr="006408E4">
              <w:rPr>
                <w:sz w:val="28"/>
                <w:szCs w:val="28"/>
                <w:lang w:val="uk-UA"/>
              </w:rPr>
              <w:t xml:space="preserve"> загальних резервів </w:t>
            </w:r>
            <w:r w:rsidRPr="00583ABE">
              <w:rPr>
                <w:b/>
                <w:sz w:val="28"/>
                <w:szCs w:val="28"/>
                <w:lang w:val="uk-UA"/>
              </w:rPr>
              <w:t xml:space="preserve">у </w:t>
            </w:r>
            <w:r>
              <w:rPr>
                <w:b/>
                <w:sz w:val="28"/>
                <w:szCs w:val="28"/>
                <w:lang w:val="uk-UA"/>
              </w:rPr>
              <w:t>розмірі від 5 до 10 відсотків від обсягу готівкових коштів, випущених Національним банком в обіг,</w:t>
            </w:r>
            <w:r w:rsidRPr="00E329F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та коштів на кореспондентських рахунках банків у національній валюті у порядку, визначеному політикою управління капіталом Національного банку, яка затверджується Радою Національного банку</w:t>
            </w:r>
            <w:r w:rsidRPr="006408E4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80EE2" w:rsidRPr="002858DD" w14:paraId="773B6DFB" w14:textId="77777777" w:rsidTr="00434907">
        <w:trPr>
          <w:trHeight w:val="70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180E1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Стаття 8. Завдання Ради Національного банку</w:t>
            </w:r>
          </w:p>
          <w:p w14:paraId="2D3A1001" w14:textId="77777777" w:rsidR="00780EE2" w:rsidRPr="006408E4" w:rsidRDefault="00780EE2" w:rsidP="003E5A60">
            <w:pPr>
              <w:pStyle w:val="1"/>
              <w:shd w:val="clear" w:color="auto" w:fill="auto"/>
              <w:spacing w:beforeLines="60" w:before="144" w:line="240" w:lineRule="auto"/>
              <w:ind w:right="142" w:firstLine="411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Відповідно до Конституції України основними завданнями Ради Національного банку є розроблення Основних засад грошово-кредитної політики та здійснення контролю за проведенням грошово-кредитної політики.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4CF28" w14:textId="77777777" w:rsidR="00780EE2" w:rsidRPr="006408E4" w:rsidRDefault="00780EE2" w:rsidP="008121DA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Стаття 8. Завдання Ради Національного банку</w:t>
            </w:r>
          </w:p>
          <w:p w14:paraId="2D0BEE60" w14:textId="77777777" w:rsidR="00780EE2" w:rsidRPr="006408E4" w:rsidRDefault="00780EE2" w:rsidP="003E5A60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b/>
                <w:sz w:val="28"/>
                <w:szCs w:val="28"/>
                <w:lang w:val="uk-UA"/>
              </w:rPr>
              <w:t>Рада Національного банку є одним з керівних органів Національного банку, який</w:t>
            </w:r>
            <w:r w:rsidRPr="006408E4">
              <w:rPr>
                <w:sz w:val="28"/>
                <w:szCs w:val="28"/>
                <w:lang w:val="uk-UA"/>
              </w:rPr>
              <w:t xml:space="preserve"> відповідно до Конституції України розробляє Основні засади грошово-кредитної політики та здійснює контроль за проведенням грошово-кредитної політики.</w:t>
            </w:r>
          </w:p>
        </w:tc>
      </w:tr>
      <w:tr w:rsidR="00780EE2" w:rsidRPr="002858DD" w14:paraId="66AFBBF0" w14:textId="77777777" w:rsidTr="00434907">
        <w:trPr>
          <w:trHeight w:val="3005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73C75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Стаття 9. Повноваження Ради Національного банку</w:t>
            </w:r>
          </w:p>
          <w:p w14:paraId="50D71B29" w14:textId="77777777" w:rsidR="00780EE2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Рада Національного банку:</w:t>
            </w:r>
          </w:p>
          <w:p w14:paraId="6739D8BF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</w:p>
          <w:p w14:paraId="313D03F6" w14:textId="77777777" w:rsidR="00780EE2" w:rsidRPr="007D7963" w:rsidRDefault="00780EE2" w:rsidP="0042329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7D7963">
              <w:rPr>
                <w:b/>
                <w:sz w:val="28"/>
                <w:szCs w:val="28"/>
                <w:shd w:val="clear" w:color="auto" w:fill="FFFFFF"/>
                <w:lang w:val="uk-UA"/>
              </w:rPr>
              <w:t>відсутн</w:t>
            </w: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я</w:t>
            </w:r>
          </w:p>
          <w:p w14:paraId="0CCDAF6A" w14:textId="77777777" w:rsidR="00780EE2" w:rsidRPr="006408E4" w:rsidRDefault="00780EE2" w:rsidP="00AD3F0D">
            <w:pPr>
              <w:pStyle w:val="1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F2E14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Стаття 9. Повноваження Ради Національного банку</w:t>
            </w:r>
          </w:p>
          <w:p w14:paraId="2C27946D" w14:textId="77777777" w:rsidR="00780EE2" w:rsidRDefault="00780EE2" w:rsidP="0042329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left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>Рада Національного банку:</w:t>
            </w:r>
          </w:p>
          <w:p w14:paraId="0575E74D" w14:textId="77777777" w:rsidR="00780EE2" w:rsidRPr="006408E4" w:rsidRDefault="00780EE2" w:rsidP="0042329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left"/>
              <w:rPr>
                <w:sz w:val="28"/>
                <w:szCs w:val="28"/>
                <w:lang w:val="uk-UA"/>
              </w:rPr>
            </w:pPr>
          </w:p>
          <w:p w14:paraId="17373650" w14:textId="77777777" w:rsidR="00780EE2" w:rsidRPr="006408E4" w:rsidRDefault="00780EE2" w:rsidP="00537A02">
            <w:pPr>
              <w:pStyle w:val="1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EF5C77">
              <w:rPr>
                <w:b/>
                <w:sz w:val="28"/>
                <w:szCs w:val="28"/>
                <w:lang w:val="uk-UA"/>
              </w:rPr>
              <w:t>6)</w:t>
            </w:r>
            <w:r w:rsidRPr="002858DD">
              <w:rPr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b/>
                <w:sz w:val="28"/>
                <w:szCs w:val="28"/>
                <w:lang w:val="uk-UA"/>
              </w:rPr>
              <w:t>затверджує політику управління капіталом</w:t>
            </w:r>
            <w:r w:rsidRPr="002858D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b/>
                <w:sz w:val="28"/>
                <w:szCs w:val="28"/>
                <w:lang w:val="uk-UA"/>
              </w:rPr>
              <w:t>Національного банку</w:t>
            </w:r>
            <w:r w:rsidRPr="002858DD">
              <w:rPr>
                <w:sz w:val="28"/>
                <w:szCs w:val="28"/>
                <w:lang w:val="uk-UA"/>
              </w:rPr>
              <w:t>;</w:t>
            </w:r>
          </w:p>
        </w:tc>
      </w:tr>
      <w:tr w:rsidR="00780EE2" w:rsidRPr="002858DD" w14:paraId="5AD1480D" w14:textId="77777777" w:rsidTr="00434907">
        <w:trPr>
          <w:trHeight w:val="1835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D35B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lastRenderedPageBreak/>
              <w:t>9) визначає порядок, періодичність проведення внутрішнього аудиту у структурних підрозділах Національного банку та затверджує річний план його проведення, затверджує положення про підрозділ внутрішнього аудиту;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E3CDA" w14:textId="77777777" w:rsidR="00780EE2" w:rsidRPr="002858DD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 xml:space="preserve">9) визначає порядок, періодичність проведення внутрішнього аудиту у структурних підрозділах Національного банку та затверджує річний план його проведення, затверджує положення про підрозділ внутрішнього аудиту, </w:t>
            </w:r>
            <w:r w:rsidRPr="006408E4">
              <w:rPr>
                <w:b/>
                <w:sz w:val="28"/>
                <w:szCs w:val="28"/>
                <w:lang w:val="uk-UA"/>
              </w:rPr>
              <w:t>погоджує о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рганізаційну</w:t>
            </w:r>
            <w:r w:rsidRPr="006408E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структуру</w:t>
            </w:r>
            <w:r w:rsidRPr="002858D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b/>
                <w:sz w:val="28"/>
                <w:szCs w:val="28"/>
                <w:lang w:val="uk-UA"/>
              </w:rPr>
              <w:t>підрозділу внутрішнього аудиту</w:t>
            </w:r>
            <w:r w:rsidRPr="002858DD">
              <w:rPr>
                <w:b/>
                <w:sz w:val="28"/>
                <w:szCs w:val="28"/>
                <w:lang w:val="uk-UA"/>
              </w:rPr>
              <w:t xml:space="preserve">, чисельність працівників 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та</w:t>
            </w:r>
            <w:r w:rsidRPr="006408E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витрати</w:t>
            </w:r>
            <w:r w:rsidRPr="006408E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на</w:t>
            </w:r>
            <w:r w:rsidRPr="006408E4">
              <w:rPr>
                <w:b/>
                <w:sz w:val="28"/>
                <w:szCs w:val="28"/>
                <w:lang w:val="uk-UA"/>
              </w:rPr>
              <w:t xml:space="preserve"> оплату </w:t>
            </w:r>
            <w:r w:rsidRPr="006408E4">
              <w:rPr>
                <w:rFonts w:hint="eastAsia"/>
                <w:b/>
                <w:sz w:val="28"/>
                <w:szCs w:val="28"/>
                <w:lang w:val="uk-UA"/>
              </w:rPr>
              <w:t>праці</w:t>
            </w:r>
            <w:r w:rsidRPr="006408E4">
              <w:rPr>
                <w:b/>
                <w:sz w:val="28"/>
                <w:szCs w:val="28"/>
                <w:lang w:val="uk-UA"/>
              </w:rPr>
              <w:t>;</w:t>
            </w:r>
          </w:p>
        </w:tc>
      </w:tr>
      <w:tr w:rsidR="00780EE2" w:rsidRPr="002858DD" w14:paraId="58B652C0" w14:textId="77777777" w:rsidTr="00434907">
        <w:trPr>
          <w:trHeight w:val="801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5F29D" w14:textId="77777777" w:rsidR="00780EE2" w:rsidRPr="006408E4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1A37BB">
              <w:rPr>
                <w:sz w:val="28"/>
                <w:szCs w:val="28"/>
                <w:shd w:val="clear" w:color="auto" w:fill="FFFFFF"/>
              </w:rPr>
              <w:t xml:space="preserve">20) затверджує за поданням Правління Національного банку методику визначення винагороди членам Ради Національного банку, крім Голови </w:t>
            </w:r>
            <w:r w:rsidRPr="00310EBE">
              <w:rPr>
                <w:sz w:val="28"/>
                <w:szCs w:val="28"/>
                <w:shd w:val="clear" w:color="auto" w:fill="FFFFFF"/>
              </w:rPr>
              <w:t>Національного банку. Розмір щорічної винагороди члена Ради Національного банку України не може бути вищим за чотирикратний максимальний розмір заробітної плати члена Правління Національного банку за один місяць;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94D59" w14:textId="77777777" w:rsidR="00780EE2" w:rsidRDefault="00780EE2" w:rsidP="00FC588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14:paraId="5C1920C7" w14:textId="77777777" w:rsidR="00780EE2" w:rsidRPr="006408E4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sz w:val="28"/>
                <w:szCs w:val="28"/>
                <w:lang w:val="uk-UA"/>
              </w:rPr>
            </w:pPr>
            <w:r w:rsidRPr="00617B1C">
              <w:rPr>
                <w:b/>
                <w:sz w:val="28"/>
                <w:szCs w:val="28"/>
                <w:shd w:val="clear" w:color="auto" w:fill="FFFFFF"/>
                <w:lang w:val="uk-UA"/>
              </w:rPr>
              <w:t>виключити.</w:t>
            </w:r>
          </w:p>
        </w:tc>
      </w:tr>
      <w:tr w:rsidR="00780EE2" w:rsidRPr="002858DD" w14:paraId="5169657D" w14:textId="77777777" w:rsidTr="00434907">
        <w:trPr>
          <w:trHeight w:val="801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1664A" w14:textId="77777777" w:rsidR="00780EE2" w:rsidRDefault="00780EE2" w:rsidP="00247CEE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</w:rPr>
            </w:pPr>
            <w:r w:rsidRPr="006408E4">
              <w:rPr>
                <w:sz w:val="28"/>
                <w:szCs w:val="28"/>
                <w:lang w:val="uk-UA"/>
              </w:rPr>
              <w:t xml:space="preserve">Стаття </w:t>
            </w:r>
            <w:r>
              <w:rPr>
                <w:sz w:val="28"/>
                <w:szCs w:val="28"/>
                <w:lang w:val="uk-UA"/>
              </w:rPr>
              <w:t>1</w:t>
            </w:r>
            <w:r w:rsidRPr="00247CEE">
              <w:rPr>
                <w:sz w:val="28"/>
                <w:szCs w:val="28"/>
                <w:lang w:val="ru-RU"/>
              </w:rPr>
              <w:t>3</w:t>
            </w:r>
            <w:r w:rsidRPr="006408E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47CEE">
              <w:rPr>
                <w:sz w:val="28"/>
                <w:szCs w:val="28"/>
                <w:shd w:val="clear" w:color="auto" w:fill="FFFFFF"/>
              </w:rPr>
              <w:t>Рішення Ради Національного банку</w:t>
            </w:r>
          </w:p>
          <w:p w14:paraId="160E1D38" w14:textId="77777777" w:rsidR="00780EE2" w:rsidRPr="00247CEE" w:rsidRDefault="00780EE2" w:rsidP="00247CEE">
            <w:pPr>
              <w:pStyle w:val="af0"/>
              <w:jc w:val="both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</w:pPr>
            <w:r w:rsidRPr="00247CEE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  <w:t>Основні засади грошово-кредитної політики та рішення Ради Національного банку з питань, визначених пунктами 3, 4, 6, 8 - 10, 12, 15, 17, 18, 20 статті 9 цього Закону, є обов'язковими для виконання Правлінням Національного банку.</w:t>
            </w:r>
          </w:p>
          <w:p w14:paraId="3683BC3F" w14:textId="77777777" w:rsidR="00780EE2" w:rsidRPr="00247CEE" w:rsidRDefault="00780EE2" w:rsidP="00247CEE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14:paraId="76D97AA0" w14:textId="77777777" w:rsidR="00780EE2" w:rsidRPr="001A37BB" w:rsidRDefault="00780EE2" w:rsidP="00247CEE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23FBE" w14:textId="77777777" w:rsidR="00780EE2" w:rsidRDefault="00780EE2" w:rsidP="00247CEE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</w:rPr>
            </w:pPr>
            <w:r w:rsidRPr="006408E4">
              <w:rPr>
                <w:sz w:val="28"/>
                <w:szCs w:val="28"/>
                <w:lang w:val="uk-UA"/>
              </w:rPr>
              <w:t xml:space="preserve">Стаття </w:t>
            </w:r>
            <w:r>
              <w:rPr>
                <w:sz w:val="28"/>
                <w:szCs w:val="28"/>
                <w:lang w:val="uk-UA"/>
              </w:rPr>
              <w:t>1</w:t>
            </w:r>
            <w:r w:rsidRPr="00247CEE">
              <w:rPr>
                <w:sz w:val="28"/>
                <w:szCs w:val="28"/>
                <w:lang w:val="ru-RU"/>
              </w:rPr>
              <w:t>3</w:t>
            </w:r>
            <w:r w:rsidRPr="006408E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47CEE">
              <w:rPr>
                <w:sz w:val="28"/>
                <w:szCs w:val="28"/>
                <w:shd w:val="clear" w:color="auto" w:fill="FFFFFF"/>
              </w:rPr>
              <w:t>Рішення Ради Національного банку</w:t>
            </w:r>
          </w:p>
          <w:p w14:paraId="589419FD" w14:textId="77777777" w:rsidR="00780EE2" w:rsidRPr="00247CEE" w:rsidRDefault="00780EE2" w:rsidP="00247CEE">
            <w:pPr>
              <w:pStyle w:val="af0"/>
              <w:jc w:val="both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</w:pPr>
            <w:r w:rsidRPr="00247CEE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  <w:t xml:space="preserve">Основні засади грошово-кредитної політики та рішення Ради Національного банку з питань, визначених пунктами 3, 4, </w:t>
            </w:r>
            <w:r w:rsidRPr="00497AB1">
              <w:rPr>
                <w:rFonts w:eastAsia="Times New Roman"/>
                <w:b/>
                <w:color w:val="000000"/>
                <w:sz w:val="28"/>
                <w:szCs w:val="28"/>
                <w:shd w:val="clear" w:color="auto" w:fill="FFFFFF"/>
                <w:lang w:val="uk"/>
              </w:rPr>
              <w:t>7, 9 - 11, 13, 16, 18, 19, 21</w:t>
            </w:r>
            <w:r w:rsidRPr="00247CEE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  <w:t xml:space="preserve"> статті 9 цього Закону, є обов'язковими для виконання Правлінням Національного банку.</w:t>
            </w:r>
          </w:p>
          <w:p w14:paraId="44B5E111" w14:textId="77777777" w:rsidR="00780EE2" w:rsidRPr="00247CEE" w:rsidRDefault="00780EE2" w:rsidP="00FC588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780EE2" w:rsidRPr="002858DD" w14:paraId="7BBA6E94" w14:textId="77777777" w:rsidTr="00434907">
        <w:trPr>
          <w:trHeight w:val="5193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3DDB" w14:textId="77777777" w:rsidR="00780EE2" w:rsidRPr="006408E4" w:rsidRDefault="00780EE2" w:rsidP="00BE488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lastRenderedPageBreak/>
              <w:t xml:space="preserve">Стаття </w:t>
            </w:r>
            <w:r>
              <w:rPr>
                <w:sz w:val="28"/>
                <w:szCs w:val="28"/>
                <w:lang w:val="uk-UA"/>
              </w:rPr>
              <w:t>15</w:t>
            </w:r>
            <w:r w:rsidRPr="006408E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Повноваження Правління</w:t>
            </w:r>
            <w:r w:rsidRPr="006408E4">
              <w:rPr>
                <w:sz w:val="28"/>
                <w:szCs w:val="28"/>
                <w:lang w:val="uk-UA"/>
              </w:rPr>
              <w:t xml:space="preserve"> Національного банку</w:t>
            </w:r>
          </w:p>
          <w:p w14:paraId="3ABCE568" w14:textId="77777777" w:rsidR="00780EE2" w:rsidRPr="007D7963" w:rsidRDefault="00780EE2" w:rsidP="007D7963">
            <w:pPr>
              <w:pStyle w:val="af0"/>
              <w:jc w:val="both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</w:pPr>
            <w:r w:rsidRPr="007D7963">
              <w:rPr>
                <w:sz w:val="28"/>
                <w:szCs w:val="28"/>
              </w:rPr>
              <w:t>9</w:t>
            </w:r>
            <w:r w:rsidRPr="007D7963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val="uk"/>
              </w:rPr>
              <w:t>) розробляє та подає на затвердження Раді Національного банку методику визначення винагороди членам Ради Національного банку, крім Голови Національного банку;</w:t>
            </w:r>
          </w:p>
          <w:p w14:paraId="7BB9A15E" w14:textId="77777777" w:rsidR="00780EE2" w:rsidRDefault="00780EE2" w:rsidP="00B05DE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1B708425" w14:textId="77777777" w:rsidR="00780EE2" w:rsidRDefault="00780EE2" w:rsidP="00B05DE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468A2F9F" w14:textId="77777777" w:rsidR="00780EE2" w:rsidRDefault="00780EE2" w:rsidP="00B05DE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3E51B8BC" w14:textId="77777777" w:rsidR="00780EE2" w:rsidRPr="007D7963" w:rsidRDefault="00780EE2" w:rsidP="00B05DE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7D7963">
              <w:rPr>
                <w:b/>
                <w:sz w:val="28"/>
                <w:szCs w:val="28"/>
                <w:shd w:val="clear" w:color="auto" w:fill="FFFFFF"/>
                <w:lang w:val="uk-UA"/>
              </w:rPr>
              <w:t>відсутн</w:t>
            </w: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я</w:t>
            </w:r>
          </w:p>
          <w:p w14:paraId="6028D332" w14:textId="77777777" w:rsidR="00780EE2" w:rsidRPr="002858DD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B0945" w14:textId="77777777" w:rsidR="00780EE2" w:rsidRDefault="00780EE2" w:rsidP="00A7586F">
            <w:pPr>
              <w:pStyle w:val="1"/>
              <w:shd w:val="clear" w:color="auto" w:fill="auto"/>
              <w:spacing w:beforeLines="60" w:before="144" w:line="240" w:lineRule="auto"/>
              <w:ind w:left="126" w:right="142" w:firstLine="194"/>
              <w:rPr>
                <w:sz w:val="28"/>
                <w:szCs w:val="28"/>
                <w:lang w:val="uk-UA"/>
              </w:rPr>
            </w:pPr>
            <w:r w:rsidRPr="006408E4">
              <w:rPr>
                <w:sz w:val="28"/>
                <w:szCs w:val="28"/>
                <w:lang w:val="uk-UA"/>
              </w:rPr>
              <w:t xml:space="preserve">Стаття </w:t>
            </w:r>
            <w:r>
              <w:rPr>
                <w:sz w:val="28"/>
                <w:szCs w:val="28"/>
                <w:lang w:val="uk-UA"/>
              </w:rPr>
              <w:t>15</w:t>
            </w:r>
            <w:r w:rsidRPr="006408E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Повноваження Правління</w:t>
            </w:r>
            <w:r w:rsidRPr="006408E4">
              <w:rPr>
                <w:sz w:val="28"/>
                <w:szCs w:val="28"/>
                <w:lang w:val="uk-UA"/>
              </w:rPr>
              <w:t xml:space="preserve"> Національного банку</w:t>
            </w:r>
          </w:p>
          <w:p w14:paraId="08DF6952" w14:textId="77777777" w:rsidR="00780EE2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rPr>
                <w:b/>
                <w:sz w:val="28"/>
                <w:szCs w:val="28"/>
                <w:lang w:val="uk-UA"/>
              </w:rPr>
            </w:pPr>
          </w:p>
          <w:p w14:paraId="7DD82CAD" w14:textId="77777777" w:rsidR="00780EE2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617B1C">
              <w:rPr>
                <w:b/>
                <w:sz w:val="28"/>
                <w:szCs w:val="28"/>
                <w:shd w:val="clear" w:color="auto" w:fill="FFFFFF"/>
                <w:lang w:val="uk-UA"/>
              </w:rPr>
              <w:t>виключити.</w:t>
            </w:r>
          </w:p>
          <w:p w14:paraId="6936EA66" w14:textId="77777777" w:rsidR="00780EE2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7ACB2723" w14:textId="77777777" w:rsidR="00780EE2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5EA972FB" w14:textId="77777777" w:rsidR="00780EE2" w:rsidRDefault="00780EE2" w:rsidP="007D7963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center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14:paraId="25ACFE65" w14:textId="77777777" w:rsidR="00780EE2" w:rsidRDefault="00780EE2" w:rsidP="00B05DE9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rPr>
                <w:b/>
                <w:sz w:val="28"/>
                <w:szCs w:val="28"/>
                <w:lang w:val="uk-UA"/>
              </w:rPr>
            </w:pPr>
          </w:p>
          <w:p w14:paraId="78A84227" w14:textId="77777777" w:rsidR="00780EE2" w:rsidRPr="002858DD" w:rsidRDefault="00780EE2" w:rsidP="00692CBC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08626F">
              <w:rPr>
                <w:b/>
                <w:sz w:val="28"/>
                <w:szCs w:val="28"/>
                <w:lang w:val="uk-UA"/>
              </w:rPr>
              <w:t>) розробляє та подає на затвердження Раді Національного банку України політику управління капіталом Національного банку;</w:t>
            </w:r>
          </w:p>
        </w:tc>
      </w:tr>
      <w:tr w:rsidR="00780EE2" w:rsidRPr="002858DD" w14:paraId="46195C14" w14:textId="77777777" w:rsidTr="00434907">
        <w:trPr>
          <w:trHeight w:val="804"/>
          <w:jc w:val="center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11E46" w14:textId="77777777" w:rsidR="00780EE2" w:rsidRPr="002858DD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left"/>
              <w:rPr>
                <w:sz w:val="28"/>
                <w:szCs w:val="28"/>
                <w:lang w:val="uk-UA"/>
              </w:rPr>
            </w:pPr>
            <w:r w:rsidRPr="002858DD">
              <w:rPr>
                <w:sz w:val="28"/>
                <w:szCs w:val="28"/>
                <w:lang w:val="uk-UA"/>
              </w:rPr>
              <w:t>Розділ XV. ПРИКІНЦЕВІ ПОЛОЖЕННЯ</w:t>
            </w:r>
          </w:p>
          <w:p w14:paraId="09633CAC" w14:textId="77777777" w:rsidR="00780EE2" w:rsidRPr="000F69A3" w:rsidRDefault="00780EE2" w:rsidP="003573DB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center"/>
              <w:rPr>
                <w:b/>
                <w:sz w:val="28"/>
                <w:szCs w:val="28"/>
                <w:lang w:val="ru-RU"/>
              </w:rPr>
            </w:pPr>
            <w:r w:rsidRPr="000F69A3">
              <w:rPr>
                <w:b/>
                <w:sz w:val="28"/>
                <w:szCs w:val="28"/>
                <w:lang w:val="uk-UA"/>
              </w:rPr>
              <w:t>відсутн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B52C6" w14:textId="77777777" w:rsidR="00780EE2" w:rsidRPr="002858DD" w:rsidRDefault="00780EE2" w:rsidP="00AD3F0D">
            <w:pPr>
              <w:pStyle w:val="1"/>
              <w:shd w:val="clear" w:color="auto" w:fill="auto"/>
              <w:spacing w:beforeLines="60" w:before="144" w:line="240" w:lineRule="auto"/>
              <w:ind w:left="126" w:right="142" w:firstLine="1"/>
              <w:jc w:val="left"/>
              <w:rPr>
                <w:sz w:val="28"/>
                <w:szCs w:val="28"/>
                <w:lang w:val="uk-UA"/>
              </w:rPr>
            </w:pPr>
            <w:r w:rsidRPr="002858DD">
              <w:rPr>
                <w:sz w:val="28"/>
                <w:szCs w:val="28"/>
                <w:lang w:val="uk-UA"/>
              </w:rPr>
              <w:t>Розділ XV. ПРИКІНЦЕВІ ПОЛОЖЕННЯ</w:t>
            </w:r>
          </w:p>
          <w:p w14:paraId="5B7272DB" w14:textId="77777777" w:rsidR="00780EE2" w:rsidRDefault="00780EE2" w:rsidP="00CC6524">
            <w:pPr>
              <w:pStyle w:val="1"/>
              <w:shd w:val="clear" w:color="auto" w:fill="auto"/>
              <w:spacing w:beforeLines="60" w:before="144" w:line="240" w:lineRule="auto"/>
              <w:ind w:left="126" w:right="142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7. </w:t>
            </w:r>
            <w:r w:rsidRPr="000F69A3">
              <w:rPr>
                <w:b/>
                <w:sz w:val="28"/>
                <w:szCs w:val="28"/>
                <w:lang w:val="uk-UA"/>
              </w:rPr>
              <w:t>Надати право Національному банку застосувати зміни до статт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0F69A3">
              <w:rPr>
                <w:b/>
                <w:sz w:val="28"/>
                <w:szCs w:val="28"/>
                <w:lang w:val="uk-UA"/>
              </w:rPr>
              <w:t xml:space="preserve"> 5</w:t>
            </w:r>
            <w:r w:rsidRPr="000F69A3">
              <w:rPr>
                <w:b/>
                <w:sz w:val="28"/>
                <w:szCs w:val="28"/>
                <w:vertAlign w:val="superscript"/>
                <w:lang w:val="ru-RU"/>
              </w:rPr>
              <w:t>1</w:t>
            </w:r>
            <w:r w:rsidRPr="000F69A3">
              <w:rPr>
                <w:b/>
                <w:sz w:val="28"/>
                <w:szCs w:val="28"/>
                <w:lang w:val="uk-UA"/>
              </w:rPr>
              <w:t xml:space="preserve"> під час розрахунку прибутку до Державного бюджету України за 2019 рік.</w:t>
            </w:r>
          </w:p>
          <w:p w14:paraId="50AD352B" w14:textId="77777777" w:rsidR="00434907" w:rsidRDefault="00434907" w:rsidP="00CC6524">
            <w:pPr>
              <w:pStyle w:val="1"/>
              <w:shd w:val="clear" w:color="auto" w:fill="auto"/>
              <w:spacing w:beforeLines="60" w:before="144" w:line="240" w:lineRule="auto"/>
              <w:ind w:left="126" w:right="142"/>
              <w:rPr>
                <w:b/>
                <w:sz w:val="28"/>
                <w:szCs w:val="28"/>
                <w:lang w:val="uk-UA"/>
              </w:rPr>
            </w:pPr>
          </w:p>
          <w:p w14:paraId="164349ED" w14:textId="77777777" w:rsidR="00434907" w:rsidRPr="000F69A3" w:rsidRDefault="00434907" w:rsidP="00CC6524">
            <w:pPr>
              <w:pStyle w:val="1"/>
              <w:shd w:val="clear" w:color="auto" w:fill="auto"/>
              <w:spacing w:beforeLines="60" w:before="144" w:line="240" w:lineRule="auto"/>
              <w:ind w:left="126" w:right="142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55EE42A2" w14:textId="77777777" w:rsidR="009524EF" w:rsidRDefault="009524EF" w:rsidP="00857227">
      <w:pPr>
        <w:spacing w:beforeLines="60" w:before="144"/>
        <w:rPr>
          <w:rFonts w:ascii="Times New Roman" w:hAnsi="Times New Roman" w:cs="Times New Roman"/>
          <w:sz w:val="28"/>
          <w:szCs w:val="28"/>
          <w:lang w:val="uk-UA"/>
        </w:rPr>
      </w:pPr>
    </w:p>
    <w:p w14:paraId="241859A9" w14:textId="77777777" w:rsidR="00293627" w:rsidRDefault="00293627" w:rsidP="00857227">
      <w:pPr>
        <w:spacing w:beforeLines="60" w:before="144"/>
        <w:rPr>
          <w:rFonts w:ascii="Times New Roman" w:hAnsi="Times New Roman" w:cs="Times New Roman"/>
          <w:sz w:val="28"/>
          <w:szCs w:val="28"/>
          <w:lang w:val="uk-UA"/>
        </w:rPr>
      </w:pPr>
    </w:p>
    <w:p w14:paraId="55347006" w14:textId="77777777" w:rsidR="00293627" w:rsidRDefault="00293627" w:rsidP="00857227">
      <w:pPr>
        <w:spacing w:beforeLines="60" w:before="144"/>
        <w:rPr>
          <w:rFonts w:ascii="Times New Roman" w:hAnsi="Times New Roman" w:cs="Times New Roman"/>
          <w:sz w:val="28"/>
          <w:szCs w:val="28"/>
          <w:lang w:val="uk-UA"/>
        </w:rPr>
      </w:pPr>
    </w:p>
    <w:p w14:paraId="57BA88E5" w14:textId="0B6C5705" w:rsidR="00293627" w:rsidRPr="00293627" w:rsidRDefault="00293627" w:rsidP="00857227">
      <w:pPr>
        <w:spacing w:beforeLines="60" w:before="1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36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Народний депутат України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936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А.І. Холодов</w:t>
      </w:r>
    </w:p>
    <w:sectPr w:rsidR="00293627" w:rsidRPr="00293627" w:rsidSect="004E731D">
      <w:headerReference w:type="default" r:id="rId8"/>
      <w:footerReference w:type="even" r:id="rId9"/>
      <w:footerReference w:type="default" r:id="rId10"/>
      <w:type w:val="continuous"/>
      <w:pgSz w:w="16837" w:h="11905" w:orient="landscape"/>
      <w:pgMar w:top="284" w:right="397" w:bottom="284" w:left="39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D02F9" w14:textId="77777777" w:rsidR="00F11FBC" w:rsidRDefault="00F11FBC">
      <w:r>
        <w:separator/>
      </w:r>
    </w:p>
  </w:endnote>
  <w:endnote w:type="continuationSeparator" w:id="0">
    <w:p w14:paraId="63C5F25A" w14:textId="77777777" w:rsidR="00F11FBC" w:rsidRDefault="00F1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371732"/>
      <w:docPartObj>
        <w:docPartGallery w:val="Page Numbers (Bottom of Page)"/>
        <w:docPartUnique/>
      </w:docPartObj>
    </w:sdtPr>
    <w:sdtEndPr/>
    <w:sdtContent>
      <w:p w14:paraId="0219E619" w14:textId="77777777" w:rsidR="005B4A04" w:rsidRDefault="005B4A0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36F" w:rsidRPr="00A7636F">
          <w:rPr>
            <w:noProof/>
            <w:lang w:val="uk-UA"/>
          </w:rPr>
          <w:t>2</w:t>
        </w:r>
        <w:r>
          <w:fldChar w:fldCharType="end"/>
        </w:r>
      </w:p>
    </w:sdtContent>
  </w:sdt>
  <w:p w14:paraId="369CF026" w14:textId="77777777" w:rsidR="005B4A04" w:rsidRDefault="005B4A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641615"/>
      <w:docPartObj>
        <w:docPartGallery w:val="Page Numbers (Bottom of Page)"/>
        <w:docPartUnique/>
      </w:docPartObj>
    </w:sdtPr>
    <w:sdtEndPr/>
    <w:sdtContent>
      <w:p w14:paraId="7FF81118" w14:textId="77777777" w:rsidR="00A7636F" w:rsidRDefault="00A763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FA3" w:rsidRPr="009C1FA3">
          <w:rPr>
            <w:noProof/>
            <w:lang w:val="uk-UA"/>
          </w:rPr>
          <w:t>4</w:t>
        </w:r>
        <w:r>
          <w:fldChar w:fldCharType="end"/>
        </w:r>
      </w:p>
    </w:sdtContent>
  </w:sdt>
  <w:p w14:paraId="6AB4D248" w14:textId="77777777" w:rsidR="00A7636F" w:rsidRDefault="00A763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AB3F5" w14:textId="77777777" w:rsidR="00F11FBC" w:rsidRDefault="00F11FBC"/>
  </w:footnote>
  <w:footnote w:type="continuationSeparator" w:id="0">
    <w:p w14:paraId="0325A9AA" w14:textId="77777777" w:rsidR="00F11FBC" w:rsidRDefault="00F11F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36DE8" w14:textId="77777777" w:rsidR="009524EF" w:rsidRDefault="009524EF">
    <w:pPr>
      <w:pStyle w:val="a6"/>
      <w:framePr w:w="16856" w:h="148" w:wrap="none" w:vAnchor="text" w:hAnchor="page" w:x="-7" w:y="749"/>
      <w:shd w:val="clear" w:color="auto" w:fill="auto"/>
      <w:ind w:left="156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46415"/>
    <w:multiLevelType w:val="multilevel"/>
    <w:tmpl w:val="A42479C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C00C05"/>
    <w:multiLevelType w:val="hybridMultilevel"/>
    <w:tmpl w:val="01985DC8"/>
    <w:lvl w:ilvl="0" w:tplc="D8D2B3EC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0" w:hanging="360"/>
      </w:pPr>
    </w:lvl>
    <w:lvl w:ilvl="2" w:tplc="0422001B" w:tentative="1">
      <w:start w:val="1"/>
      <w:numFmt w:val="lowerRoman"/>
      <w:lvlText w:val="%3."/>
      <w:lvlJc w:val="right"/>
      <w:pPr>
        <w:ind w:left="2120" w:hanging="180"/>
      </w:pPr>
    </w:lvl>
    <w:lvl w:ilvl="3" w:tplc="0422000F" w:tentative="1">
      <w:start w:val="1"/>
      <w:numFmt w:val="decimal"/>
      <w:lvlText w:val="%4."/>
      <w:lvlJc w:val="left"/>
      <w:pPr>
        <w:ind w:left="2840" w:hanging="360"/>
      </w:pPr>
    </w:lvl>
    <w:lvl w:ilvl="4" w:tplc="04220019" w:tentative="1">
      <w:start w:val="1"/>
      <w:numFmt w:val="lowerLetter"/>
      <w:lvlText w:val="%5."/>
      <w:lvlJc w:val="left"/>
      <w:pPr>
        <w:ind w:left="3560" w:hanging="360"/>
      </w:pPr>
    </w:lvl>
    <w:lvl w:ilvl="5" w:tplc="0422001B" w:tentative="1">
      <w:start w:val="1"/>
      <w:numFmt w:val="lowerRoman"/>
      <w:lvlText w:val="%6."/>
      <w:lvlJc w:val="right"/>
      <w:pPr>
        <w:ind w:left="4280" w:hanging="180"/>
      </w:pPr>
    </w:lvl>
    <w:lvl w:ilvl="6" w:tplc="0422000F" w:tentative="1">
      <w:start w:val="1"/>
      <w:numFmt w:val="decimal"/>
      <w:lvlText w:val="%7."/>
      <w:lvlJc w:val="left"/>
      <w:pPr>
        <w:ind w:left="5000" w:hanging="360"/>
      </w:pPr>
    </w:lvl>
    <w:lvl w:ilvl="7" w:tplc="04220019" w:tentative="1">
      <w:start w:val="1"/>
      <w:numFmt w:val="lowerLetter"/>
      <w:lvlText w:val="%8."/>
      <w:lvlJc w:val="left"/>
      <w:pPr>
        <w:ind w:left="5720" w:hanging="360"/>
      </w:pPr>
    </w:lvl>
    <w:lvl w:ilvl="8" w:tplc="0422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" w15:restartNumberingAfterBreak="0">
    <w:nsid w:val="36F058A9"/>
    <w:multiLevelType w:val="hybridMultilevel"/>
    <w:tmpl w:val="3744885A"/>
    <w:lvl w:ilvl="0" w:tplc="B5B6A2C6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0" w:hanging="360"/>
      </w:pPr>
    </w:lvl>
    <w:lvl w:ilvl="2" w:tplc="0422001B" w:tentative="1">
      <w:start w:val="1"/>
      <w:numFmt w:val="lowerRoman"/>
      <w:lvlText w:val="%3."/>
      <w:lvlJc w:val="right"/>
      <w:pPr>
        <w:ind w:left="2120" w:hanging="180"/>
      </w:pPr>
    </w:lvl>
    <w:lvl w:ilvl="3" w:tplc="0422000F" w:tentative="1">
      <w:start w:val="1"/>
      <w:numFmt w:val="decimal"/>
      <w:lvlText w:val="%4."/>
      <w:lvlJc w:val="left"/>
      <w:pPr>
        <w:ind w:left="2840" w:hanging="360"/>
      </w:pPr>
    </w:lvl>
    <w:lvl w:ilvl="4" w:tplc="04220019" w:tentative="1">
      <w:start w:val="1"/>
      <w:numFmt w:val="lowerLetter"/>
      <w:lvlText w:val="%5."/>
      <w:lvlJc w:val="left"/>
      <w:pPr>
        <w:ind w:left="3560" w:hanging="360"/>
      </w:pPr>
    </w:lvl>
    <w:lvl w:ilvl="5" w:tplc="0422001B" w:tentative="1">
      <w:start w:val="1"/>
      <w:numFmt w:val="lowerRoman"/>
      <w:lvlText w:val="%6."/>
      <w:lvlJc w:val="right"/>
      <w:pPr>
        <w:ind w:left="4280" w:hanging="180"/>
      </w:pPr>
    </w:lvl>
    <w:lvl w:ilvl="6" w:tplc="0422000F" w:tentative="1">
      <w:start w:val="1"/>
      <w:numFmt w:val="decimal"/>
      <w:lvlText w:val="%7."/>
      <w:lvlJc w:val="left"/>
      <w:pPr>
        <w:ind w:left="5000" w:hanging="360"/>
      </w:pPr>
    </w:lvl>
    <w:lvl w:ilvl="7" w:tplc="04220019" w:tentative="1">
      <w:start w:val="1"/>
      <w:numFmt w:val="lowerLetter"/>
      <w:lvlText w:val="%8."/>
      <w:lvlJc w:val="left"/>
      <w:pPr>
        <w:ind w:left="5720" w:hanging="360"/>
      </w:pPr>
    </w:lvl>
    <w:lvl w:ilvl="8" w:tplc="0422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4EF"/>
    <w:rsid w:val="00005BC3"/>
    <w:rsid w:val="00012DAB"/>
    <w:rsid w:val="00017C28"/>
    <w:rsid w:val="00020A94"/>
    <w:rsid w:val="00044179"/>
    <w:rsid w:val="00046CBF"/>
    <w:rsid w:val="0005025B"/>
    <w:rsid w:val="00065F07"/>
    <w:rsid w:val="0008626F"/>
    <w:rsid w:val="0008627D"/>
    <w:rsid w:val="00090446"/>
    <w:rsid w:val="00090C7D"/>
    <w:rsid w:val="000A0276"/>
    <w:rsid w:val="000A3265"/>
    <w:rsid w:val="000A5DB6"/>
    <w:rsid w:val="000B1CFE"/>
    <w:rsid w:val="000D1B20"/>
    <w:rsid w:val="000D61D8"/>
    <w:rsid w:val="000E1A46"/>
    <w:rsid w:val="000F0F30"/>
    <w:rsid w:val="000F69A3"/>
    <w:rsid w:val="001034F0"/>
    <w:rsid w:val="001252C9"/>
    <w:rsid w:val="00125A92"/>
    <w:rsid w:val="00127B46"/>
    <w:rsid w:val="00135D7A"/>
    <w:rsid w:val="0015344A"/>
    <w:rsid w:val="0016702D"/>
    <w:rsid w:val="001700F7"/>
    <w:rsid w:val="0018342B"/>
    <w:rsid w:val="001855F5"/>
    <w:rsid w:val="001924F7"/>
    <w:rsid w:val="001F04CC"/>
    <w:rsid w:val="001F7F92"/>
    <w:rsid w:val="00202415"/>
    <w:rsid w:val="00204A0C"/>
    <w:rsid w:val="00204CE1"/>
    <w:rsid w:val="00234263"/>
    <w:rsid w:val="002415A8"/>
    <w:rsid w:val="00247CEE"/>
    <w:rsid w:val="00250610"/>
    <w:rsid w:val="00255AAE"/>
    <w:rsid w:val="00266FCC"/>
    <w:rsid w:val="002802D9"/>
    <w:rsid w:val="00282165"/>
    <w:rsid w:val="002830C0"/>
    <w:rsid w:val="002858DD"/>
    <w:rsid w:val="00286716"/>
    <w:rsid w:val="00293627"/>
    <w:rsid w:val="002A578E"/>
    <w:rsid w:val="002C60AB"/>
    <w:rsid w:val="002E388B"/>
    <w:rsid w:val="002F197A"/>
    <w:rsid w:val="00306FA8"/>
    <w:rsid w:val="00310EBE"/>
    <w:rsid w:val="00314F33"/>
    <w:rsid w:val="00336EA9"/>
    <w:rsid w:val="00356D80"/>
    <w:rsid w:val="003573DB"/>
    <w:rsid w:val="0036047C"/>
    <w:rsid w:val="003631F4"/>
    <w:rsid w:val="0036602E"/>
    <w:rsid w:val="00375B82"/>
    <w:rsid w:val="003809F6"/>
    <w:rsid w:val="003855F1"/>
    <w:rsid w:val="003875BD"/>
    <w:rsid w:val="003875C5"/>
    <w:rsid w:val="003909C7"/>
    <w:rsid w:val="003913F2"/>
    <w:rsid w:val="003B3DC7"/>
    <w:rsid w:val="003D0DFE"/>
    <w:rsid w:val="003D0E7E"/>
    <w:rsid w:val="003E5A60"/>
    <w:rsid w:val="003F1D0C"/>
    <w:rsid w:val="00406191"/>
    <w:rsid w:val="004111B0"/>
    <w:rsid w:val="004113AE"/>
    <w:rsid w:val="0042329D"/>
    <w:rsid w:val="004274C2"/>
    <w:rsid w:val="00431802"/>
    <w:rsid w:val="00433B91"/>
    <w:rsid w:val="00434907"/>
    <w:rsid w:val="00441BF6"/>
    <w:rsid w:val="00452A14"/>
    <w:rsid w:val="0045561A"/>
    <w:rsid w:val="0046043A"/>
    <w:rsid w:val="0047125F"/>
    <w:rsid w:val="00492C4F"/>
    <w:rsid w:val="00493B76"/>
    <w:rsid w:val="00497AB1"/>
    <w:rsid w:val="004B5C65"/>
    <w:rsid w:val="004C6541"/>
    <w:rsid w:val="004D0CAA"/>
    <w:rsid w:val="004E731D"/>
    <w:rsid w:val="004F680D"/>
    <w:rsid w:val="004F7CDA"/>
    <w:rsid w:val="00506313"/>
    <w:rsid w:val="00510C3D"/>
    <w:rsid w:val="00521AAE"/>
    <w:rsid w:val="00533913"/>
    <w:rsid w:val="00537A02"/>
    <w:rsid w:val="00540476"/>
    <w:rsid w:val="00551E67"/>
    <w:rsid w:val="00562FEB"/>
    <w:rsid w:val="00577D4D"/>
    <w:rsid w:val="00583ABE"/>
    <w:rsid w:val="00583B45"/>
    <w:rsid w:val="0058459A"/>
    <w:rsid w:val="005935B0"/>
    <w:rsid w:val="005B4A04"/>
    <w:rsid w:val="005B7983"/>
    <w:rsid w:val="005C42EE"/>
    <w:rsid w:val="005C49A3"/>
    <w:rsid w:val="005C4B7F"/>
    <w:rsid w:val="005E0E8C"/>
    <w:rsid w:val="005E18E0"/>
    <w:rsid w:val="005E5981"/>
    <w:rsid w:val="005F10E8"/>
    <w:rsid w:val="00622463"/>
    <w:rsid w:val="0062382D"/>
    <w:rsid w:val="00624CDA"/>
    <w:rsid w:val="006304A1"/>
    <w:rsid w:val="0063346D"/>
    <w:rsid w:val="006408E4"/>
    <w:rsid w:val="006411B0"/>
    <w:rsid w:val="00660551"/>
    <w:rsid w:val="006750F0"/>
    <w:rsid w:val="00675EAB"/>
    <w:rsid w:val="006772C6"/>
    <w:rsid w:val="00680AC3"/>
    <w:rsid w:val="00692610"/>
    <w:rsid w:val="00692CBC"/>
    <w:rsid w:val="00693480"/>
    <w:rsid w:val="006A3F90"/>
    <w:rsid w:val="006C1A91"/>
    <w:rsid w:val="006C766E"/>
    <w:rsid w:val="006D2EAC"/>
    <w:rsid w:val="006E50A0"/>
    <w:rsid w:val="006F5C4D"/>
    <w:rsid w:val="006F7E3D"/>
    <w:rsid w:val="00707766"/>
    <w:rsid w:val="007268BD"/>
    <w:rsid w:val="00735D26"/>
    <w:rsid w:val="00737C14"/>
    <w:rsid w:val="00744546"/>
    <w:rsid w:val="00754D8F"/>
    <w:rsid w:val="00775803"/>
    <w:rsid w:val="00780EE2"/>
    <w:rsid w:val="00784C09"/>
    <w:rsid w:val="00795C67"/>
    <w:rsid w:val="007A673B"/>
    <w:rsid w:val="007C2994"/>
    <w:rsid w:val="007C364D"/>
    <w:rsid w:val="007D7963"/>
    <w:rsid w:val="007E56DF"/>
    <w:rsid w:val="00801191"/>
    <w:rsid w:val="00802B22"/>
    <w:rsid w:val="008121DA"/>
    <w:rsid w:val="00821BC2"/>
    <w:rsid w:val="00824C3C"/>
    <w:rsid w:val="00831342"/>
    <w:rsid w:val="008405F5"/>
    <w:rsid w:val="00852E6B"/>
    <w:rsid w:val="008536F1"/>
    <w:rsid w:val="00857227"/>
    <w:rsid w:val="00862695"/>
    <w:rsid w:val="008779C0"/>
    <w:rsid w:val="00887A69"/>
    <w:rsid w:val="00892EEE"/>
    <w:rsid w:val="008A5707"/>
    <w:rsid w:val="008A5C14"/>
    <w:rsid w:val="008C2B2A"/>
    <w:rsid w:val="008C743D"/>
    <w:rsid w:val="008E2DE1"/>
    <w:rsid w:val="0090444E"/>
    <w:rsid w:val="0091535E"/>
    <w:rsid w:val="00933EEF"/>
    <w:rsid w:val="009524EF"/>
    <w:rsid w:val="0096286C"/>
    <w:rsid w:val="00963A96"/>
    <w:rsid w:val="009B532F"/>
    <w:rsid w:val="009B7660"/>
    <w:rsid w:val="009C0665"/>
    <w:rsid w:val="009C1FA3"/>
    <w:rsid w:val="009C223F"/>
    <w:rsid w:val="009E18A1"/>
    <w:rsid w:val="009F4340"/>
    <w:rsid w:val="009F47E0"/>
    <w:rsid w:val="00A050C1"/>
    <w:rsid w:val="00A17302"/>
    <w:rsid w:val="00A209D3"/>
    <w:rsid w:val="00A512DF"/>
    <w:rsid w:val="00A575FB"/>
    <w:rsid w:val="00A6134C"/>
    <w:rsid w:val="00A7586F"/>
    <w:rsid w:val="00A7636F"/>
    <w:rsid w:val="00A764C5"/>
    <w:rsid w:val="00A83844"/>
    <w:rsid w:val="00A945AC"/>
    <w:rsid w:val="00AA0881"/>
    <w:rsid w:val="00AB49F7"/>
    <w:rsid w:val="00AB6C8E"/>
    <w:rsid w:val="00AD248F"/>
    <w:rsid w:val="00AD2959"/>
    <w:rsid w:val="00AD3F0D"/>
    <w:rsid w:val="00AE1AA0"/>
    <w:rsid w:val="00B05DE9"/>
    <w:rsid w:val="00B06609"/>
    <w:rsid w:val="00B160B9"/>
    <w:rsid w:val="00B25A0B"/>
    <w:rsid w:val="00B40586"/>
    <w:rsid w:val="00B409CE"/>
    <w:rsid w:val="00B51034"/>
    <w:rsid w:val="00B55434"/>
    <w:rsid w:val="00B6065E"/>
    <w:rsid w:val="00B70FDF"/>
    <w:rsid w:val="00B9100D"/>
    <w:rsid w:val="00B92BAF"/>
    <w:rsid w:val="00BA101E"/>
    <w:rsid w:val="00BA6F3C"/>
    <w:rsid w:val="00BB0042"/>
    <w:rsid w:val="00BB28E9"/>
    <w:rsid w:val="00BB30C3"/>
    <w:rsid w:val="00BE4889"/>
    <w:rsid w:val="00C13C9F"/>
    <w:rsid w:val="00C15F59"/>
    <w:rsid w:val="00C27352"/>
    <w:rsid w:val="00C32E8F"/>
    <w:rsid w:val="00C5022E"/>
    <w:rsid w:val="00C71921"/>
    <w:rsid w:val="00C724DF"/>
    <w:rsid w:val="00C75E7E"/>
    <w:rsid w:val="00C77549"/>
    <w:rsid w:val="00C81033"/>
    <w:rsid w:val="00CB04A4"/>
    <w:rsid w:val="00CB4E1A"/>
    <w:rsid w:val="00CC3E64"/>
    <w:rsid w:val="00CC6524"/>
    <w:rsid w:val="00CE2F5E"/>
    <w:rsid w:val="00CF01D6"/>
    <w:rsid w:val="00D03CC3"/>
    <w:rsid w:val="00D1323B"/>
    <w:rsid w:val="00D1616B"/>
    <w:rsid w:val="00D271FE"/>
    <w:rsid w:val="00D350A0"/>
    <w:rsid w:val="00D43D48"/>
    <w:rsid w:val="00D52ACA"/>
    <w:rsid w:val="00D53B85"/>
    <w:rsid w:val="00D63761"/>
    <w:rsid w:val="00D76EFE"/>
    <w:rsid w:val="00D910B3"/>
    <w:rsid w:val="00DA0140"/>
    <w:rsid w:val="00DA3627"/>
    <w:rsid w:val="00DA609B"/>
    <w:rsid w:val="00DB31A6"/>
    <w:rsid w:val="00DB7AC2"/>
    <w:rsid w:val="00DD0A21"/>
    <w:rsid w:val="00DD2283"/>
    <w:rsid w:val="00DD3D18"/>
    <w:rsid w:val="00DD4D5E"/>
    <w:rsid w:val="00DF2459"/>
    <w:rsid w:val="00DF3D36"/>
    <w:rsid w:val="00E065A3"/>
    <w:rsid w:val="00E20025"/>
    <w:rsid w:val="00E3246E"/>
    <w:rsid w:val="00E329F6"/>
    <w:rsid w:val="00E33960"/>
    <w:rsid w:val="00E6178E"/>
    <w:rsid w:val="00E6374F"/>
    <w:rsid w:val="00E84ED3"/>
    <w:rsid w:val="00EC1C57"/>
    <w:rsid w:val="00EC3602"/>
    <w:rsid w:val="00EC58D6"/>
    <w:rsid w:val="00ED0D0B"/>
    <w:rsid w:val="00ED4707"/>
    <w:rsid w:val="00EF1AAE"/>
    <w:rsid w:val="00EF2B60"/>
    <w:rsid w:val="00EF5C77"/>
    <w:rsid w:val="00F052D0"/>
    <w:rsid w:val="00F07DDF"/>
    <w:rsid w:val="00F11FBC"/>
    <w:rsid w:val="00F124B5"/>
    <w:rsid w:val="00F13760"/>
    <w:rsid w:val="00F16F86"/>
    <w:rsid w:val="00F22E1A"/>
    <w:rsid w:val="00F37BED"/>
    <w:rsid w:val="00F42349"/>
    <w:rsid w:val="00F52EDD"/>
    <w:rsid w:val="00F65C5D"/>
    <w:rsid w:val="00F737B5"/>
    <w:rsid w:val="00F73818"/>
    <w:rsid w:val="00F75D6F"/>
    <w:rsid w:val="00F91AF0"/>
    <w:rsid w:val="00FA1FB6"/>
    <w:rsid w:val="00FB1EAB"/>
    <w:rsid w:val="00FC5889"/>
    <w:rsid w:val="00FE5D15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B6A855"/>
  <w15:docId w15:val="{5AFE272F-6622-439F-B3B2-24AC7147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795C67"/>
    <w:pPr>
      <w:spacing w:before="100" w:beforeAutospacing="1" w:after="100" w:afterAutospacing="1"/>
      <w:outlineLvl w:val="2"/>
    </w:pPr>
    <w:rPr>
      <w:rFonts w:ascii="Times New Roman" w:eastAsiaTheme="minorEastAsia" w:hAnsi="Times New Roman" w:cs="Times New Roman"/>
      <w:b/>
      <w:bCs/>
      <w:color w:val="auto"/>
      <w:sz w:val="27"/>
      <w:szCs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46"/>
      <w:szCs w:val="46"/>
    </w:rPr>
  </w:style>
  <w:style w:type="character" w:customStyle="1" w:styleId="21">
    <w:name w:val="Заголовок №2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46"/>
      <w:szCs w:val="46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22">
    <w:name w:val="Основни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Основний текст (3)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pt">
    <w:name w:val="Основний текст + 13 pt;Напівжирни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Impact9pt">
    <w:name w:val="Колонтитул + Impact;9 pt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ий текст (6)_"/>
    <w:basedOn w:val="a0"/>
    <w:link w:val="6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46"/>
      <w:szCs w:val="46"/>
    </w:rPr>
  </w:style>
  <w:style w:type="character" w:customStyle="1" w:styleId="65pt">
    <w:name w:val="Основний текст (6) + Інтервал 5 pt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10"/>
      <w:sz w:val="46"/>
      <w:szCs w:val="46"/>
    </w:rPr>
  </w:style>
  <w:style w:type="character" w:customStyle="1" w:styleId="62pt">
    <w:name w:val="Основний текст (6) + Інтервал 2 pt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50"/>
      <w:sz w:val="46"/>
      <w:szCs w:val="46"/>
    </w:rPr>
  </w:style>
  <w:style w:type="character" w:customStyle="1" w:styleId="63pt">
    <w:name w:val="Основний текст (6) + Інтервал 3 pt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70"/>
      <w:sz w:val="46"/>
      <w:szCs w:val="46"/>
    </w:rPr>
  </w:style>
  <w:style w:type="character" w:customStyle="1" w:styleId="61">
    <w:name w:val="Основний текст (6)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46"/>
      <w:szCs w:val="46"/>
    </w:rPr>
  </w:style>
  <w:style w:type="character" w:customStyle="1" w:styleId="6TimesNewRoman10pt0pt">
    <w:name w:val="Основний текст (6) + Times New Roman;10 pt;Не курсив;І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6-1pt">
    <w:name w:val="Основний текст (6) + Інтервал -1 pt"/>
    <w:basedOn w:val="6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46"/>
      <w:szCs w:val="46"/>
    </w:rPr>
  </w:style>
  <w:style w:type="character" w:customStyle="1" w:styleId="6TimesNewRoman605pt0pt">
    <w:name w:val="Основний текст (6) + Times New Roman;60;5 pt;Не курсив;І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21"/>
      <w:szCs w:val="121"/>
    </w:rPr>
  </w:style>
  <w:style w:type="character" w:customStyle="1" w:styleId="a7">
    <w:name w:val="Підпис до зображення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46"/>
      <w:szCs w:val="46"/>
    </w:rPr>
  </w:style>
  <w:style w:type="character" w:customStyle="1" w:styleId="15pt">
    <w:name w:val="Заголовок №1 + Інтервал 5 pt"/>
    <w:basedOn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10"/>
      <w:sz w:val="46"/>
      <w:szCs w:val="4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0" w:lineRule="atLeast"/>
      <w:outlineLvl w:val="1"/>
    </w:pPr>
    <w:rPr>
      <w:rFonts w:ascii="Impact" w:eastAsia="Impact" w:hAnsi="Impact" w:cs="Impact"/>
      <w:i/>
      <w:iCs/>
      <w:spacing w:val="20"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20" w:after="360" w:line="0" w:lineRule="atLeast"/>
      <w:outlineLvl w:val="2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3">
    <w:name w:val="Основни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Основний текст (3)"/>
    <w:basedOn w:val="a"/>
    <w:link w:val="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1">
    <w:name w:val="Основний текст1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20"/>
      <w:sz w:val="46"/>
      <w:szCs w:val="46"/>
    </w:rPr>
  </w:style>
  <w:style w:type="paragraph" w:customStyle="1" w:styleId="a8">
    <w:name w:val="Підпис до зображення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20"/>
      <w:sz w:val="46"/>
      <w:szCs w:val="46"/>
    </w:rPr>
  </w:style>
  <w:style w:type="character" w:customStyle="1" w:styleId="rvts0">
    <w:name w:val="rvts0"/>
    <w:basedOn w:val="a0"/>
    <w:rsid w:val="00CE2F5E"/>
  </w:style>
  <w:style w:type="paragraph" w:styleId="a9">
    <w:name w:val="footer"/>
    <w:basedOn w:val="a"/>
    <w:link w:val="aa"/>
    <w:uiPriority w:val="99"/>
    <w:unhideWhenUsed/>
    <w:rsid w:val="001F04C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F04CC"/>
    <w:rPr>
      <w:color w:val="000000"/>
    </w:rPr>
  </w:style>
  <w:style w:type="paragraph" w:styleId="ab">
    <w:name w:val="header"/>
    <w:basedOn w:val="a"/>
    <w:link w:val="ac"/>
    <w:uiPriority w:val="99"/>
    <w:unhideWhenUsed/>
    <w:rsid w:val="001F04CC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1F04CC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5B4A04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B4A04"/>
    <w:rPr>
      <w:rFonts w:ascii="Segoe UI" w:hAnsi="Segoe UI" w:cs="Segoe UI"/>
      <w:color w:val="000000"/>
      <w:sz w:val="18"/>
      <w:szCs w:val="18"/>
    </w:rPr>
  </w:style>
  <w:style w:type="paragraph" w:customStyle="1" w:styleId="rvps2">
    <w:name w:val="rvps2"/>
    <w:basedOn w:val="a"/>
    <w:rsid w:val="00005BC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/>
    </w:rPr>
  </w:style>
  <w:style w:type="character" w:customStyle="1" w:styleId="rvts46">
    <w:name w:val="rvts46"/>
    <w:basedOn w:val="a0"/>
    <w:rsid w:val="00005BC3"/>
  </w:style>
  <w:style w:type="character" w:customStyle="1" w:styleId="rvts9">
    <w:name w:val="rvts9"/>
    <w:basedOn w:val="a0"/>
    <w:rsid w:val="009C223F"/>
  </w:style>
  <w:style w:type="paragraph" w:styleId="af">
    <w:name w:val="No Spacing"/>
    <w:uiPriority w:val="1"/>
    <w:qFormat/>
    <w:rsid w:val="003909C7"/>
    <w:rPr>
      <w:color w:val="000000"/>
    </w:rPr>
  </w:style>
  <w:style w:type="character" w:customStyle="1" w:styleId="30">
    <w:name w:val="Заголовок 3 Знак"/>
    <w:basedOn w:val="a0"/>
    <w:link w:val="3"/>
    <w:uiPriority w:val="9"/>
    <w:rsid w:val="00795C67"/>
    <w:rPr>
      <w:rFonts w:ascii="Times New Roman" w:eastAsiaTheme="minorEastAsia" w:hAnsi="Times New Roman" w:cs="Times New Roman"/>
      <w:b/>
      <w:bCs/>
      <w:sz w:val="27"/>
      <w:szCs w:val="27"/>
      <w:lang w:val="uk-UA"/>
    </w:rPr>
  </w:style>
  <w:style w:type="paragraph" w:styleId="af0">
    <w:name w:val="Normal (Web)"/>
    <w:basedOn w:val="a"/>
    <w:uiPriority w:val="99"/>
    <w:unhideWhenUsed/>
    <w:rsid w:val="00B25A0B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val="uk-UA"/>
    </w:rPr>
  </w:style>
  <w:style w:type="paragraph" w:styleId="af1">
    <w:name w:val="Body Text"/>
    <w:basedOn w:val="a"/>
    <w:link w:val="af2"/>
    <w:uiPriority w:val="99"/>
    <w:unhideWhenUsed/>
    <w:rsid w:val="00293627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sz w:val="28"/>
      <w:szCs w:val="28"/>
      <w:lang w:val="uk-UA" w:eastAsia="zh-CN"/>
    </w:rPr>
  </w:style>
  <w:style w:type="character" w:customStyle="1" w:styleId="af2">
    <w:name w:val="Основний текст Знак"/>
    <w:basedOn w:val="a0"/>
    <w:link w:val="af1"/>
    <w:uiPriority w:val="99"/>
    <w:rsid w:val="00293627"/>
    <w:rPr>
      <w:rFonts w:ascii="Times New Roman" w:eastAsia="Times New Roman" w:hAnsi="Times New Roman" w:cs="Times New Roman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3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5786-4CD7-4625-83AF-D87027AB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3420</Words>
  <Characters>1950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nbu</Company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Олена Іванівна</dc:creator>
  <cp:lastModifiedBy>Холодов Андрій Іванович</cp:lastModifiedBy>
  <cp:revision>2</cp:revision>
  <cp:lastPrinted>2020-02-05T10:41:00Z</cp:lastPrinted>
  <dcterms:created xsi:type="dcterms:W3CDTF">2020-02-05T14:18:00Z</dcterms:created>
  <dcterms:modified xsi:type="dcterms:W3CDTF">2020-02-05T14:18:00Z</dcterms:modified>
</cp:coreProperties>
</file>