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26011" w:rsidRPr="00326011" w:rsidP="00326011">
      <w:pPr>
        <w:bidi w:val="0"/>
        <w:spacing w:after="0" w:line="240" w:lineRule="auto"/>
        <w:jc w:val="center"/>
        <w:rPr>
          <w:rFonts w:ascii="Times New Roman" w:hAnsi="Times New Roman"/>
          <w:sz w:val="24"/>
          <w:szCs w:val="24"/>
          <w:lang w:eastAsia="uk-UA"/>
        </w:rPr>
      </w:pPr>
      <w:r w:rsidRPr="00326011">
        <w:rPr>
          <w:rFonts w:ascii="Times New Roman" w:hAnsi="Times New Roman"/>
          <w:b/>
          <w:bCs/>
          <w:color w:val="000000"/>
          <w:sz w:val="28"/>
          <w:szCs w:val="28"/>
          <w:lang w:eastAsia="uk-UA"/>
        </w:rPr>
        <w:t>ПОЯСНЮВАЛЬНА ЗАПИСКА</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jc w:val="center"/>
        <w:rPr>
          <w:rFonts w:ascii="Times New Roman" w:hAnsi="Times New Roman"/>
          <w:sz w:val="24"/>
          <w:szCs w:val="24"/>
          <w:lang w:eastAsia="uk-UA"/>
        </w:rPr>
      </w:pPr>
      <w:r w:rsidRPr="00326011">
        <w:rPr>
          <w:rFonts w:ascii="Times New Roman" w:hAnsi="Times New Roman"/>
          <w:b/>
          <w:bCs/>
          <w:color w:val="000000"/>
          <w:sz w:val="28"/>
          <w:szCs w:val="28"/>
          <w:lang w:eastAsia="uk-UA"/>
        </w:rPr>
        <w:t>до проекту Закону України «Про внесення змін до деяких законодавчих актів України щодо посилення відповідальності за правопорушення у сфері обігу та вживання тютюнових виробів, новітніх виробів з тютюну та електронних сигарет» </w:t>
      </w:r>
    </w:p>
    <w:p w:rsidR="00326011" w:rsidRPr="00326011" w:rsidP="00326011">
      <w:pPr>
        <w:bidi w:val="0"/>
        <w:spacing w:after="240" w:line="240" w:lineRule="auto"/>
        <w:rPr>
          <w:rFonts w:ascii="Times New Roman" w:hAnsi="Times New Roman"/>
          <w:sz w:val="24"/>
          <w:szCs w:val="24"/>
          <w:lang w:eastAsia="uk-UA"/>
        </w:rPr>
      </w:pPr>
    </w:p>
    <w:p w:rsidR="00326011" w:rsidRPr="00326011" w:rsidP="00326011">
      <w:pPr>
        <w:bidi w:val="0"/>
        <w:spacing w:after="0" w:line="240" w:lineRule="auto"/>
        <w:ind w:firstLine="709"/>
        <w:jc w:val="both"/>
        <w:rPr>
          <w:rFonts w:ascii="Times New Roman" w:hAnsi="Times New Roman"/>
          <w:sz w:val="24"/>
          <w:szCs w:val="24"/>
          <w:lang w:eastAsia="uk-UA"/>
        </w:rPr>
      </w:pPr>
      <w:r w:rsidRPr="00326011">
        <w:rPr>
          <w:rFonts w:ascii="Times New Roman" w:hAnsi="Times New Roman"/>
          <w:b/>
          <w:bCs/>
          <w:color w:val="000000"/>
          <w:sz w:val="28"/>
          <w:szCs w:val="28"/>
          <w:lang w:eastAsia="uk-UA"/>
        </w:rPr>
        <w:t>1. Обґрунтування необхідності прийняття проекту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є альтернативним до проекту Закону про внесення змін до деяких законодавчих актів України щодо посилення відповідальності за правопорушення у сфері обігу та вживання тютюнових виробів (реєстр. № 2199 від 2 жовтня 2019 року).</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Не викликає сумнівів проблеми та шляхи вирішення, порушені законопроектом № 2199. Дійсно, як зазначено у пояснювальній записці до цього законопроекту виробники тютюнових виробів невпинно впроваджують найсучасніші наукові та маркетингові технології, представляють для споживачів нові продукти, які позиціонують як менш шкідлива альтернатива традиційним сигаретам. </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Разом із тим, різноманіття винаходів та технологій, з якими тютюнові виробники виходять на споживчий ринок не обмежується електронними сигаретами та тютюновмісними виробами для електричного нагрівання. На даний час виробниками розроблено кілька варіантів виробів і технологій, які створено для споживання нікотину в різний спосіб. На світовому ринку існує продукція, яка нагріває тютюн за допомогою хімічних реактивів, поєднує нагрівання в собі елементи електронних сигарет і тютюновмісних виробів.</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За таких умов, пропонується скористатися досвідом Європейського Союзу та розширити категорію виробів, впровадивши в законодавстві нові класи продукції: (1) «новітні вироби з тютюну», який би охоплював будь-які інноваційні вироби на ринку тютюнової продукції, (2) «електронні сигарети», які не містять тютюн, але генерують випари з нікотином шляхом нагрівання відповідних рідин, і запровадити державне регулювання цієї продукції, включаючи медичні попередження, обмеження рекламної діяльності та споживання такої продукції. Саме таки підхід встановлено Директивою ЄС 2014/40/ЄС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    </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Вживання тютюну - куріння - є одним із найвизначніших факторів ризику виникнення неінфекційних захворювань. Щороку у світі від вживання тютюну, за оцінками ВООЗ, гине близько 7 мільйонів людей. Глобальне опитування дорослих щодо вживання тютюну в Україні (GATS), що було проведено Всесвітньою організацією охорони здоров’я (ВООЗ), Міністерством охорони здоров’я України (МОЗ) та Київським міжнародним інститутом соціології у 2017 році показало, що наразі 22,8% дорослого населення курять сигарети (39,7% серед чоловіків та 8,8% серед жінок). Таким чином за останні сім років поширеність куріння в Україні зменшилася з 28,3% у 2010 році до 22,8% у 2017 році.</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Проте, наразі в Україні масово поширюються альтернативні способи вживання нікотину – електронні сигарети та новітні тютюнові вироби, серед яких найбільш популярні – “HEETS” від IQOS та «NEOSTIKS” від GLO. Згідно із результатами глобального дослідження вживання тютюну серед молоді  (GYTS), в Україні більше 40% підлітків (віком від 13 до 15 років) пробували електронні сигарети, а майже кожен п'ятий регулярно їх вживає. Крім того, 13,5% українських підлітків регулярно курять тютюн, а понад 46% опитаних зізнаються, що хотіли б спробувати. В той час як в Україні діють заборони на продаж тютюну для неповнолітніх, такий продаж для альтернативних продуктів не регулюється, і як результат – вільний доступ дітей до електронних сигарет та кожен п'ятий підліток нікотино-залежний. </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Законопроектом пропонується повністю заборонити продаж неповнолітнім електронних сигарет і новітніх тютюновмісних виробів (“HEETS” та «NEOSTIKS” зокрема), та обмежити використання таких продуктів у громадських місцях, а також в інших місцях, визначених рішенням відповідної сільської, селищної, міської ради на час проведення масових заходів.</w:t>
      </w:r>
    </w:p>
    <w:p w:rsidR="00326011" w:rsidRPr="00326011" w:rsidP="00326011">
      <w:pPr>
        <w:bidi w:val="0"/>
        <w:spacing w:after="0" w:line="240" w:lineRule="auto"/>
        <w:ind w:firstLine="708"/>
        <w:jc w:val="both"/>
        <w:rPr>
          <w:rFonts w:ascii="Times New Roman" w:hAnsi="Times New Roman"/>
          <w:sz w:val="24"/>
          <w:szCs w:val="24"/>
          <w:lang w:eastAsia="uk-UA"/>
        </w:rPr>
      </w:pPr>
      <w:r w:rsidRPr="00326011">
        <w:rPr>
          <w:rFonts w:ascii="Times New Roman" w:hAnsi="Times New Roman"/>
          <w:color w:val="000000"/>
          <w:sz w:val="28"/>
          <w:szCs w:val="28"/>
          <w:lang w:eastAsia="uk-UA"/>
        </w:rPr>
        <w:t>Без нагальних дій щодо заборони продажу будь-яких нікотиновмісних продуктів, окрім медичних виробів, для неповнолітніх та введення адміністративного покарання для суб’єктів підприємницькою діяльності, що реалізують ці вироби, ми не можемо забезпечити гідний рівень захисту здоров’я молоді, та перервати негативну тенденцію, що спостерігається на даний момент. Такі дії також передбачені Рамковою Конвенцію ВООЗ із боротьби проти тютюну, яка 15 березня 2006 року була ратифікована Верховною Радою України та набула чинності 4 вересня того ж року.</w:t>
      </w:r>
    </w:p>
    <w:p w:rsidR="00326011" w:rsidRPr="00326011" w:rsidP="00326011">
      <w:pPr>
        <w:bidi w:val="0"/>
        <w:spacing w:after="240" w:line="240" w:lineRule="auto"/>
        <w:rPr>
          <w:rFonts w:ascii="Times New Roman" w:hAnsi="Times New Roman"/>
          <w:sz w:val="24"/>
          <w:szCs w:val="24"/>
          <w:lang w:eastAsia="uk-UA"/>
        </w:rPr>
      </w:pPr>
    </w:p>
    <w:p w:rsidR="00326011" w:rsidRPr="00326011" w:rsidP="00326011">
      <w:pPr>
        <w:bidi w:val="0"/>
        <w:spacing w:after="0" w:line="240" w:lineRule="auto"/>
        <w:ind w:firstLine="709"/>
        <w:jc w:val="both"/>
        <w:rPr>
          <w:rFonts w:ascii="Times New Roman" w:hAnsi="Times New Roman"/>
          <w:sz w:val="24"/>
          <w:szCs w:val="24"/>
          <w:lang w:eastAsia="uk-UA"/>
        </w:rPr>
      </w:pPr>
      <w:r w:rsidRPr="00326011">
        <w:rPr>
          <w:rFonts w:ascii="Times New Roman" w:hAnsi="Times New Roman"/>
          <w:b/>
          <w:bCs/>
          <w:color w:val="000000"/>
          <w:sz w:val="28"/>
          <w:szCs w:val="28"/>
          <w:lang w:eastAsia="uk-UA"/>
        </w:rPr>
        <w:t>2. Мета і завдання проекту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709"/>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розроблений з метою забезпечення високого рівня захисту здоров'я людини, зокрема молоді, та виконання зобов'язань України відповідно до Рамкової конвенції ВООЗ із боротьби проти тютюну (РКБТ), а також з метою гармонізації законодавства України із законодавством ЄС (зокрема Директиви ЄС 2014/40/ЄС «Про наближення законів, підзаконних нормативно-правових актів та адміністративних положень держав-членів щодо виробництва, представлення та продажу тютюнових виробів і супутніх продуктів та про скасування Директиви 2001/37/ЄС»), як це вимагається  Главою 22 «Громадське здоров’я» Угоди про асоціацію між Україною, з однієї сторони та Європейським Союзом, Європейським співтовариством і їхніми державами-членами.</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709"/>
        <w:jc w:val="both"/>
        <w:rPr>
          <w:rFonts w:ascii="Times New Roman" w:hAnsi="Times New Roman"/>
          <w:sz w:val="24"/>
          <w:szCs w:val="24"/>
          <w:lang w:eastAsia="uk-UA"/>
        </w:rPr>
      </w:pPr>
      <w:r w:rsidRPr="00326011">
        <w:rPr>
          <w:rFonts w:ascii="Times New Roman" w:hAnsi="Times New Roman"/>
          <w:b/>
          <w:bCs/>
          <w:color w:val="000000"/>
          <w:sz w:val="28"/>
          <w:szCs w:val="28"/>
          <w:lang w:eastAsia="uk-UA"/>
        </w:rPr>
        <w:t>3. Загальна характеристика та основні положення проекту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709"/>
        <w:jc w:val="both"/>
        <w:rPr>
          <w:rFonts w:ascii="Times New Roman" w:hAnsi="Times New Roman"/>
          <w:sz w:val="24"/>
          <w:szCs w:val="24"/>
          <w:lang w:eastAsia="uk-UA"/>
        </w:rPr>
      </w:pPr>
      <w:r w:rsidRPr="00326011">
        <w:rPr>
          <w:rFonts w:ascii="Times New Roman" w:hAnsi="Times New Roman"/>
          <w:color w:val="000000"/>
          <w:sz w:val="28"/>
          <w:szCs w:val="28"/>
          <w:lang w:eastAsia="uk-UA"/>
        </w:rPr>
        <w:t>Законопроектом пропонується внести зміни до Кодексу України про адміністративні правопорушення, Закону України «Про державне регулювання виробництва і обігу спирту етилового, коньячного і плодового, алкогольних напоїв та тютюнових виробів», Закону України «Про заходи щодо попередження та зменшення вживання тютюнових виробів і їх шкідливого впливу на здоров'я населення», Закону України «Про рекламу» в частині встановлення аналогічних  заходів щодо зменшення вживання тютюнових виробів, електронних сигарет і тютюновмісних виробів для електричного нагрівання, попередження і зменшення їх шкідливого впливу на здоров'я населення шляхом посилення адміністративної відповідальності, встановлення заборони вживання, реклами, стимулювання продажу електронних сигарет і тютюновмісних виробів для електричного нагрівання на рівні із традиційними тютюновими виробами.</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4. Стан нормативно-правової бази у сфері правового регулювання.</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Основними нормативно-правовими актами, що регулюють дану сферу правовідносин, є Конституція України, Кодекс України про адміністративні правопорушення, Закон України «Про державне регулювання виробництва і обігу спирту етилового, коньячного і плодового, алкогольних напоїв та тютюнових виробів», Закон України «Про заходи щодо попередження та зменшення вживання тютюнових виробів і їх шкідливого впливу на здоров'я населення» та Закон України «Про рекламу».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5. Фінансово-економічне обґрунтування законопроекту.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Реалізація положень цього законопроекту не потребує збільшення видатків Державного бюджету. </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6. Прогноз соціально-економічних та інших наслідків</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Прийняття Закону створить передумови для забезпечення високого рівня захисту здоров'я людей, особливо молоді, а також для виконання зобов'язань України відповідно до Рамкової конвенції ВООЗ із боротьби проти тютюну. Запропоновані зміни сприятимуть скороченню поширеності вживання електронних сигарет і тютюновмісних виробів для електричного нагрівання, підвищенню адміністративної відповідальності за порушення правил торгівлі тютюновими виробами, випуск у продаж продукції з порушенням вимог щодо медичних попереджень споживачів тютюнових виробів, куріння тютюнових виробів у заборонених місцях,  посилить держану підтримку пропагування здорового способу життя, відповідального ставлення до свого здоров'я та здоров'я оточуючих.</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7. Позиція заінтересованих сторін</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Реалізація проекту Закону не матиме впливу на інтереси окремих верств (груп) населення, об’єднаних спільними інтересами.</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 </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не стосується питань функціонування місцевого самоврядування, прав та інтересів територіальних громад, місцевого та регіонального розвитку.</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 </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не стосується соціально-трудової сфери.</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 </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не стосується сфери наукової та науково-технічної діяльності.</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 </w:t>
      </w: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8. Громадське обговорення</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З метою громадського обговорення, отримання зауважень та пропозицій проект Закону розміщено на офіційному веб-порталі Верховної Ради України.</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9. Розгляд Науковим комітетом Національної ради України з питань розвитку науки і технологій</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Законопроект не стосується сфери наукової та науково-технічної діяльності.</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10. Позиція соціальних партнерів</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не стосується соціально-трудової сфери і не потребує відображення позиції уповноважених представників всеукраїнських профспілок, їх об’єднань та всеукраїнських об’єднань організацій роботодавців.</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11. Оцінка регуляторного впливу</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Законопроект не суперечить загальним принципам формування державної регуляторної політики України, встановлених Законом України від 11.09.2003 № 1160-IV «Про засади державної регуляторної політики у сфері господарської діяльності.</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b/>
          <w:bCs/>
          <w:color w:val="000000"/>
          <w:sz w:val="28"/>
          <w:szCs w:val="28"/>
          <w:lang w:eastAsia="uk-UA"/>
        </w:rPr>
        <w:t>12. Вплив реалізації акту на ринок праці</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Проект Закону не містить впливу на ринок праці.</w:t>
      </w:r>
    </w:p>
    <w:p w:rsidR="00326011" w:rsidRPr="00326011" w:rsidP="00326011">
      <w:pPr>
        <w:bidi w:val="0"/>
        <w:spacing w:after="24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00404106">
        <w:rPr>
          <w:rFonts w:ascii="Times New Roman" w:hAnsi="Times New Roman"/>
          <w:b/>
          <w:bCs/>
          <w:color w:val="000000"/>
          <w:sz w:val="28"/>
          <w:szCs w:val="28"/>
          <w:lang w:eastAsia="uk-UA"/>
        </w:rPr>
        <w:t>Народний депутат України                                Т. П. Тарасенко</w:t>
      </w:r>
    </w:p>
    <w:p w:rsidR="00326011" w:rsidRPr="00326011" w:rsidP="00326011">
      <w:pPr>
        <w:bidi w:val="0"/>
        <w:spacing w:after="0" w:line="240" w:lineRule="auto"/>
        <w:rPr>
          <w:rFonts w:ascii="Times New Roman" w:hAnsi="Times New Roman"/>
          <w:sz w:val="24"/>
          <w:szCs w:val="24"/>
          <w:lang w:eastAsia="uk-UA"/>
        </w:rPr>
      </w:pPr>
    </w:p>
    <w:p w:rsidR="00326011" w:rsidRPr="00326011" w:rsidP="00326011">
      <w:pPr>
        <w:bidi w:val="0"/>
        <w:spacing w:after="0" w:line="240" w:lineRule="auto"/>
        <w:ind w:firstLine="567"/>
        <w:jc w:val="both"/>
        <w:rPr>
          <w:rFonts w:ascii="Times New Roman" w:hAnsi="Times New Roman"/>
          <w:sz w:val="24"/>
          <w:szCs w:val="24"/>
          <w:lang w:eastAsia="uk-UA"/>
        </w:rPr>
      </w:pPr>
      <w:r w:rsidRPr="00326011">
        <w:rPr>
          <w:rFonts w:ascii="Times New Roman" w:hAnsi="Times New Roman"/>
          <w:color w:val="000000"/>
          <w:sz w:val="28"/>
          <w:szCs w:val="28"/>
          <w:lang w:eastAsia="uk-UA"/>
        </w:rPr>
        <w:t>    </w:t>
      </w:r>
    </w:p>
    <w:p w:rsidR="00312591">
      <w:pPr>
        <w:bidi w:val="0"/>
      </w:pPr>
    </w:p>
    <w:sectPr w:rsidSect="00312591">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allowSpaceOfSameStyleInTable/>
    <w:splitPgBreakAndParaMark/>
    <w:useAnsiKerningPairs/>
  </w:compat>
  <w:rsids>
    <w:rsidRoot w:val="00326011"/>
    <w:rsid w:val="00312591"/>
    <w:rsid w:val="00326011"/>
    <w:rsid w:val="00404106"/>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591"/>
    <w:pPr>
      <w:framePr w:wrap="auto"/>
      <w:widowControl/>
      <w:autoSpaceDE/>
      <w:autoSpaceDN/>
      <w:adjustRightInd/>
      <w:spacing w:after="200" w:line="276" w:lineRule="auto"/>
      <w:ind w:left="0" w:right="0"/>
      <w:jc w:val="left"/>
      <w:textAlignment w:val="auto"/>
    </w:pPr>
    <w:rPr>
      <w:rFonts w:ascii="Calibri" w:eastAsia="Calibri" w:hAnsi="Calibri" w:cs="Times New Roman"/>
      <w:sz w:val="22"/>
      <w:szCs w:val="22"/>
      <w:rtl w:val="0"/>
      <w:cs w:val="0"/>
      <w:lang w:val="uk-UA"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NormalWeb">
    <w:name w:val="Normal (Web)"/>
    <w:basedOn w:val="Normal"/>
    <w:uiPriority w:val="99"/>
    <w:semiHidden/>
    <w:unhideWhenUsed/>
    <w:rsid w:val="00326011"/>
    <w:pPr>
      <w:spacing w:before="100" w:beforeAutospacing="1" w:after="100" w:afterAutospacing="1" w:line="240" w:lineRule="auto"/>
      <w:jc w:val="left"/>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4</Pages>
  <Words>5819</Words>
  <Characters>3317</Characters>
  <Application>Microsoft Office Word</Application>
  <DocSecurity>0</DocSecurity>
  <Lines>0</Lines>
  <Paragraphs>0</Paragraphs>
  <ScaleCrop>false</ScaleCrop>
  <Company>Ya Blondinko Edition</Company>
  <LinksUpToDate>false</LinksUpToDate>
  <CharactersWithSpaces>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Тарасенко Тарас Петрович</cp:lastModifiedBy>
  <cp:revision>2</cp:revision>
  <dcterms:created xsi:type="dcterms:W3CDTF">2019-10-17T14:04:00Z</dcterms:created>
  <dcterms:modified xsi:type="dcterms:W3CDTF">2019-10-17T14:04:00Z</dcterms:modified>
</cp:coreProperties>
</file>