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EF7929" w:rsidRPr="00A87C47" w:rsidP="004674DF">
      <w:pPr>
        <w:pStyle w:val="HTMLPreformatted"/>
        <w:shd w:val="clear" w:color="auto" w:fill="FFFFFF"/>
        <w:bidi w:val="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87C47">
        <w:rPr>
          <w:rFonts w:ascii="Times New Roman" w:hAnsi="Times New Roman" w:cs="Times New Roman"/>
          <w:b/>
          <w:sz w:val="28"/>
          <w:szCs w:val="28"/>
          <w:lang w:eastAsia="en-US"/>
        </w:rPr>
        <w:t>Порівняльна таблиця</w:t>
      </w:r>
    </w:p>
    <w:p w:rsidR="00EF7929" w:rsidP="004674DF">
      <w:pPr>
        <w:pStyle w:val="HTMLPreformatted"/>
        <w:shd w:val="clear" w:color="auto" w:fill="FFFFFF"/>
        <w:bidi w:val="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87C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до проекту </w:t>
      </w:r>
      <w:r w:rsidRPr="00A87C47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</w:t>
      </w:r>
      <w:r w:rsidR="008E5BF4">
        <w:rPr>
          <w:rFonts w:ascii="Times New Roman" w:hAnsi="Times New Roman" w:cs="Times New Roman"/>
          <w:b/>
          <w:sz w:val="28"/>
          <w:szCs w:val="28"/>
        </w:rPr>
        <w:t xml:space="preserve">внесення </w:t>
      </w:r>
      <w:r w:rsidRPr="00A87C47">
        <w:rPr>
          <w:rFonts w:ascii="Times New Roman" w:hAnsi="Times New Roman" w:cs="Times New Roman"/>
          <w:b/>
          <w:sz w:val="28"/>
          <w:szCs w:val="28"/>
        </w:rPr>
        <w:t>змін до Податкового кодексу України»</w:t>
      </w:r>
    </w:p>
    <w:p w:rsidR="001B12C9" w:rsidRPr="00A87C47" w:rsidP="004674DF">
      <w:pPr>
        <w:pStyle w:val="HTMLPreformatted"/>
        <w:shd w:val="clear" w:color="auto" w:fill="FFFFFF"/>
        <w:bidi w:val="0"/>
        <w:ind w:firstLine="426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75895" w:rsidRPr="00CB05C0" w:rsidP="004674DF">
      <w:pPr>
        <w:bidi w:val="0"/>
        <w:spacing w:after="0"/>
        <w:rPr>
          <w:rFonts w:ascii="Times New Roman" w:hAnsi="Times New Roman"/>
          <w:bCs/>
          <w:sz w:val="28"/>
          <w:szCs w:val="28"/>
        </w:rPr>
      </w:pPr>
    </w:p>
    <w:tbl>
      <w:tblPr>
        <w:tblStyle w:val="TableGrid"/>
        <w:tblpPr w:leftFromText="180" w:rightFromText="180" w:vertAnchor="text" w:tblpY="1"/>
        <w:tblOverlap w:val="never"/>
        <w:tblW w:w="15163" w:type="dxa"/>
        <w:tblLook w:val="04A0"/>
      </w:tblPr>
      <w:tblGrid>
        <w:gridCol w:w="7650"/>
        <w:gridCol w:w="7513"/>
      </w:tblGrid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shd w:val="clear" w:color="auto" w:fill="FFFFFF"/>
              <w:bidi w:val="0"/>
              <w:spacing w:after="0" w:line="240" w:lineRule="auto"/>
              <w:suppressOverlap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05C0" w:rsidR="002A5ABA">
              <w:rPr>
                <w:rFonts w:ascii="Times New Roman" w:hAnsi="Times New Roman"/>
                <w:bCs/>
                <w:sz w:val="28"/>
                <w:szCs w:val="28"/>
              </w:rPr>
              <w:t>Зміст положення (норми) чинного акту законодавства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E160F2" w:rsidRPr="00CB05C0" w:rsidP="004674DF">
            <w:pPr>
              <w:pStyle w:val="HTMLPreformatted"/>
              <w:bidi w:val="0"/>
              <w:ind w:right="-250" w:firstLine="176"/>
              <w:suppressOverlap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CB05C0" w:rsidR="002A5A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Зміст відповідного положення (норми) проекту акту</w:t>
            </w:r>
          </w:p>
          <w:p w:rsidR="00631E65" w:rsidRPr="00CB05C0" w:rsidP="004674DF">
            <w:pPr>
              <w:pStyle w:val="HTMLPreformatted"/>
              <w:bidi w:val="0"/>
              <w:ind w:right="-250" w:firstLine="176"/>
              <w:suppressOverlap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5C0" w:rsidR="002A5AB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shd w:val="clear" w:color="auto" w:fill="FFFFFF"/>
              <w:bidi w:val="0"/>
              <w:spacing w:after="0" w:line="240" w:lineRule="auto"/>
              <w:suppressOverlap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Стаття 254.</w:t>
            </w:r>
            <w:r w:rsidRPr="00CB05C0" w:rsidR="00611C0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Рентна плата за користування радіочастотним </w:t>
            </w:r>
            <w:r w:rsidRPr="00CB05C0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України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shd w:val="clear" w:color="auto" w:fill="FFFFFF"/>
              <w:bidi w:val="0"/>
              <w:spacing w:after="0" w:line="240" w:lineRule="auto"/>
              <w:suppressOverlap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Стаття 254.</w:t>
            </w:r>
            <w:r w:rsidRPr="00CB05C0" w:rsidR="00611C0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Рентна плата за користування радіочастотним </w:t>
            </w:r>
            <w:r w:rsidRPr="00CB05C0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спектром</w:t>
            </w:r>
            <w:r w:rsidRPr="00CB05C0" w:rsidR="00CB05C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України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 Платниками рентної плати за користування радіочастотним ресурсом України є загальні користувачі радіочастотного ресурсу України, визначені законодавством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 радіочастотний ресурс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, яким надано право користуватися радіочастотним ресурсом України в межах виділеної частини смуг радіочастот загального користування на підставі: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 Платниками рентної плати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є загальні користувачі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визначені законодавством про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електронні комунікації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яким надано право користуватися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межах виділеної частини смуг радіочастот загального користування на підставі: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254.1.1. ліцензії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України;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254.1.1. ліцензії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254.1.2. ліцензії на мовлення та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дозволу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254.1.2. ліцензії на мовлення та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радіочастотного присвоєння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для радіоелектронного обладнання;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254.1.3.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дозволу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, отриманого на підставі договору з власником ліцензії на мовлення;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254.1.3.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радіочастотного присвоєння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для радіоелектронного обладнання,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отриманого на підставі договору з власником ліцензії на мовлення;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254.1.4.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дозволу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254.1.4.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радіочастотного присвоєння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для радіоелектронного обладнання.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254.2. Не є платниками рентної плати спеціальні користувачі, перелік яких визначено законодавством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 радіочастотний ресурс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, та радіоаматори.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254.2. </w:t>
            </w:r>
            <w:r w:rsidRPr="00CB05C0" w:rsidR="002C02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 є платниками рентної плати спеціальні користувачі, перелік яких визначено </w:t>
            </w:r>
            <w:r w:rsidRPr="00CB05C0" w:rsidR="002C02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законом</w:t>
            </w:r>
            <w:r w:rsidRPr="00CB05C0" w:rsidR="002C02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радіоаматори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254.3. Об’єктом оподаткування рентною платою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України є ширина смуги радіочастот, що визначається як частина смуги радіочастот загального користування у відповідному регіоні та зазначена в ліцензії на користування радіочастотним ресурсом України або в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дозволі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технологічних користувачів та користувачів, які користуються радіочастотним ресурсом для розповсюдження телерадіопрограм.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254.3. Об’єктом оподаткування рентною платою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є ширина смуги радіочастот, що визначається як частина смуги радіочастот загального користування у відповідному регіоні та зазначена в ліцензії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спектром або в радіочастотному присвоєнні</w:t>
            </w:r>
            <w:r w:rsidRPr="00CB05C0" w:rsidR="009122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05C0" w:rsidR="009122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технологічних користувачів та користувачів, які користуються радіочастотним спектром для розповсюдження телерадіопрограм.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25</w:t>
            </w:r>
            <w:r w:rsidRPr="00CB05C0" w:rsidR="000F3BD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Pr="00CB05C0" w:rsidR="009C0EC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3.1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Ставки рентної плати за користування </w:t>
            </w:r>
            <w:r w:rsidRPr="00CB05C0" w:rsidR="00603C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адіочастотним спектром </w:t>
            </w:r>
            <w:r w:rsidRPr="00CB05C0" w:rsidR="007E08A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повинні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1) бути об’єктивно виправданими, прозорими, недискримінаційними</w:t>
            </w:r>
            <w:r w:rsidRPr="00CB05C0" w:rsidR="00F85E4C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пропорційними по відношенню до їх призначення</w:t>
            </w:r>
            <w:r w:rsidRPr="00CB05C0" w:rsidR="00F85E4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та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враховувати цілі державної політики в сфері електронних комунікацій; </w:t>
            </w:r>
          </w:p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2) забезпечувати ефективне використання радіочастот</w:t>
            </w:r>
            <w:r w:rsidRPr="00CB05C0" w:rsidR="00F85E4C">
              <w:rPr>
                <w:rFonts w:ascii="Times New Roman" w:hAnsi="Times New Roman"/>
                <w:b/>
                <w:bCs/>
                <w:sz w:val="28"/>
                <w:szCs w:val="28"/>
              </w:rPr>
              <w:t>ного спе</w:t>
            </w:r>
            <w:r w:rsidRPr="00CB05C0" w:rsidR="006A7836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Pr="00CB05C0" w:rsidR="00F85E4C">
              <w:rPr>
                <w:rFonts w:ascii="Times New Roman" w:hAnsi="Times New Roman"/>
                <w:b/>
                <w:bCs/>
                <w:sz w:val="28"/>
                <w:szCs w:val="28"/>
              </w:rPr>
              <w:t>тр</w:t>
            </w:r>
            <w:r w:rsidRPr="00CB05C0" w:rsidR="000629F2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, в тому числі</w:t>
            </w:r>
            <w:r w:rsidRPr="00CB05C0" w:rsidR="008B1770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шляхом: </w:t>
            </w:r>
          </w:p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 w:rsidR="006A78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2.1)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встановлення резервних ставок </w:t>
            </w:r>
            <w:r w:rsidRPr="00CB05C0" w:rsidR="00BB6B7B">
              <w:rPr>
                <w:rFonts w:ascii="Times New Roman" w:hAnsi="Times New Roman"/>
                <w:b/>
                <w:bCs/>
                <w:sz w:val="28"/>
                <w:szCs w:val="28"/>
              </w:rPr>
              <w:t>рентної плати з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а користування радіочастотним спектром з урахуванням  можливого</w:t>
            </w:r>
            <w:r w:rsidRPr="00CB05C0" w:rsidR="00B731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його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альтернативного використання; </w:t>
            </w:r>
          </w:p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 w:rsidR="003904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2.2)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врахува</w:t>
            </w:r>
            <w:r w:rsidRPr="00CB05C0" w:rsidR="001153E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ння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витрат, пов’язан</w:t>
            </w:r>
            <w:r w:rsidRPr="00CB05C0" w:rsidR="001153E9">
              <w:rPr>
                <w:rFonts w:ascii="Times New Roman" w:hAnsi="Times New Roman"/>
                <w:b/>
                <w:bCs/>
                <w:sz w:val="28"/>
                <w:szCs w:val="28"/>
              </w:rPr>
              <w:t>их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 умовами</w:t>
            </w:r>
            <w:r w:rsidRPr="00CB05C0" w:rsidR="003904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ліцензії на користування радіочастотним спектром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;</w:t>
            </w:r>
          </w:p>
          <w:p w:rsidR="00631E65" w:rsidRPr="00CB05C0" w:rsidP="004674DF">
            <w:pPr>
              <w:bidi w:val="0"/>
              <w:spacing w:after="0" w:line="240" w:lineRule="auto"/>
              <w:suppressOverlap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 w:rsidR="006A7836"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  <w:r w:rsidRPr="00CB05C0" w:rsidR="00F6731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CB05C0" w:rsidR="006A78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) </w:t>
            </w:r>
            <w:r w:rsidRPr="00CB05C0" w:rsidR="00153966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рахування фактичної доступності для використання радіочастотного спектра;</w:t>
            </w:r>
          </w:p>
          <w:p w:rsidR="00B84ABE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 w:rsidR="00631E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3) враховувати </w:t>
            </w:r>
            <w:r w:rsidRPr="00CB05C0" w:rsidR="001125F1">
              <w:rPr>
                <w:rFonts w:ascii="Times New Roman" w:hAnsi="Times New Roman"/>
                <w:b/>
                <w:bCs/>
                <w:sz w:val="28"/>
                <w:szCs w:val="28"/>
              </w:rPr>
              <w:t>використання радіочастот</w:t>
            </w:r>
            <w:r w:rsidRPr="00CB05C0" w:rsidR="00F07FC4">
              <w:rPr>
                <w:rFonts w:ascii="Times New Roman" w:hAnsi="Times New Roman"/>
                <w:b/>
                <w:bCs/>
                <w:sz w:val="28"/>
                <w:szCs w:val="28"/>
              </w:rPr>
              <w:t>ного спектра</w:t>
            </w:r>
            <w:r w:rsidRPr="00CB05C0" w:rsidR="001125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засадах індивідуальних прав чи за</w:t>
            </w:r>
            <w:r w:rsidRPr="00CB05C0" w:rsidR="00603C3E">
              <w:rPr>
                <w:rFonts w:ascii="Times New Roman" w:hAnsi="Times New Roman"/>
                <w:b/>
                <w:bCs/>
                <w:sz w:val="28"/>
                <w:szCs w:val="28"/>
              </w:rPr>
              <w:t>гальної авторизації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;</w:t>
            </w:r>
          </w:p>
          <w:p w:rsidR="00631E65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05C0" w:rsidR="00B84ABE">
              <w:rPr>
                <w:rFonts w:ascii="Times New Roman" w:hAnsi="Times New Roman"/>
                <w:b/>
                <w:bCs/>
                <w:sz w:val="28"/>
                <w:szCs w:val="28"/>
              </w:rPr>
              <w:t>4) враховувати витрати на радіочастотний моніторинг</w:t>
            </w:r>
            <w:r w:rsidRPr="00CB05C0" w:rsidR="00844271">
              <w:rPr>
                <w:rFonts w:ascii="Times New Roman" w:hAnsi="Times New Roman"/>
                <w:b/>
                <w:bCs/>
                <w:sz w:val="28"/>
                <w:szCs w:val="28"/>
              </w:rPr>
              <w:t>, що здійснюється за рахунок такої рентної плати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603C3E" w:rsidRPr="00CB05C0" w:rsidP="004674DF">
            <w:pPr>
              <w:pStyle w:val="rvps2"/>
              <w:shd w:val="clear" w:color="auto" w:fill="FFFFFF"/>
              <w:bidi w:val="0"/>
              <w:spacing w:before="0" w:beforeAutospacing="0" w:after="0" w:afterAutospacing="0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shd w:val="clear" w:color="auto" w:fill="FFFFFF"/>
              <w:bidi w:val="0"/>
              <w:spacing w:after="0" w:line="240" w:lineRule="auto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254.4. Ставки рентної плати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 встановлюються в таких розмірах:……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631E65" w:rsidRPr="00CB05C0" w:rsidP="004674DF">
            <w:pPr>
              <w:shd w:val="clear" w:color="auto" w:fill="FFFFFF"/>
              <w:bidi w:val="0"/>
              <w:spacing w:after="0" w:line="240" w:lineRule="auto"/>
              <w:suppressOverlap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254.4.1. Ставки рентної плати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</w:t>
            </w:r>
            <w:r w:rsidRPr="00CB05C0" w:rsid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встановлюються в таких розмірах: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</w:rPr>
              <w:t>…….</w:t>
            </w:r>
          </w:p>
        </w:tc>
      </w:tr>
    </w:tbl>
    <w:tbl>
      <w:tblPr>
        <w:tblStyle w:val="TableGrid"/>
        <w:tblW w:w="15163" w:type="dxa"/>
        <w:tblLook w:val="04A0"/>
      </w:tblPr>
      <w:tblGrid>
        <w:gridCol w:w="7650"/>
        <w:gridCol w:w="7513"/>
      </w:tblGrid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-1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 до 30 МГц (15 х 2) у кожному регіоні окремо, що належить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-1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 до 30 МГц (15 х 2) у кожному регіоні окремо, що належить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-2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менше 10 МГц (5 х 2) у кожному регіоні окремо та/або в усіх регіонах України,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-2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менше 10 МГц (5 х 2) у кожному регіоні окремо та/або в усіх регіонах України,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1,2.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-3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20 МГц (10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-3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20 МГц (10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у, застосовується підвищувальний коефіцієнт 1,4.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-4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20 МГц (10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-4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20 МГц (10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спектру,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застосовується понижувальний коефіцієнт 0,75.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-5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30 МГц (15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-5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30 МГц (15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1,4.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bookmarkStart w:id="0" w:name="n13355"/>
            <w:bookmarkStart w:id="1" w:name="n13356"/>
            <w:bookmarkStart w:id="2" w:name="n13357"/>
            <w:bookmarkStart w:id="3" w:name="n13358"/>
            <w:bookmarkStart w:id="4" w:name="n13359"/>
            <w:bookmarkEnd w:id="0"/>
            <w:bookmarkEnd w:id="1"/>
            <w:bookmarkEnd w:id="2"/>
            <w:bookmarkEnd w:id="3"/>
            <w:bookmarkEnd w:id="4"/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-6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30 МГц (15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-6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30 МГц (15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-7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40 МГц (20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підвищувальний коефіцієнт 1,4.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-7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смуги радіочастот, яка перевищує 40 МГц (20 х 2) у кожному регіоні окремо,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спектру,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застосовується підвищувальний коефіцієнт 1,4.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-8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40 МГц (20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BC0169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-8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Для ширини безперервного інтервалу (суцільної смуги) радіочастот в усіх регіонах України, що дорівнює або перевищує 10 МГц (5 х 2) у кожному регіоні, за умови що загальна ширина смуги радіочастот не перевищує 40 МГц (20 х 2) в одному діапазоні радіочастот, що належать окремому платнику рентної плати </w:t>
            </w:r>
            <w:r w:rsidRPr="00CB05C0" w:rsidR="00A73ABA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–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користувачу радіочастотного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спектру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застосовується понижувальний коефіцієнт 0,75.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254.5. Порядок нарахування податкових зобов’язань з рентної плати за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254.5. Порядок нарахування податкових зобов’язань з рентної плати за користування радіочастотним спектром України.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254.5.1. </w:t>
            </w:r>
            <w:hyperlink r:id="rId6" w:anchor="n15" w:tgtFrame="_blank" w:history="1"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Перелік користувачів радіочастотного </w:t>
              </w:r>
              <w:r w:rsidRPr="00CB05C0">
                <w:rPr>
                  <w:rFonts w:ascii="Times New Roman" w:hAnsi="Times New Roman"/>
                  <w:b/>
                  <w:bCs/>
                  <w:sz w:val="28"/>
                  <w:szCs w:val="28"/>
                  <w:lang w:eastAsia="uk-UA"/>
                </w:rPr>
                <w:t>ресурсу</w:t>
              </w:r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 </w:t>
              </w:r>
              <w:r w:rsidRPr="00CB05C0" w:rsidR="00A73ABA">
                <w:rPr>
                  <w:rFonts w:ascii="Times New Roman" w:hAnsi="Times New Roman"/>
                  <w:sz w:val="28"/>
                  <w:szCs w:val="28"/>
                  <w:lang w:eastAsia="uk-UA"/>
                </w:rPr>
                <w:t>–</w:t>
              </w:r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 платників рентної плати</w:t>
              </w:r>
            </w:hyperlink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та/або зміни до нього подаються центральному органу виконавчої влади, що реалізує державну податкову та митну політику,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національною комісією, що здійснює державне регулювання у сфері зв’язку та інформатизації,</w:t>
            </w:r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із зазначенням виду зв’язку, смуги радіочастотного ресурсу, регіонів користування радіочастотним ресурсом двічі на рік до 1 березня та до 1 вересня поточного року станом на 1 січня та 1 липня відповідно за формою, встановленою центральним органом виконавчої влади, що забезпечує формування та реалізує державну фінансову політику, за погодженням з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національною комісією, що здійснює державне регулювання у сфері зв’язку та інформатизації.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>254.5.1.</w:t>
            </w:r>
            <w:hyperlink r:id="rId6" w:anchor="n15" w:tgtFrame="_blank" w:history="1"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Перелік користувачів радіочастотного </w:t>
              </w:r>
              <w:r w:rsidRPr="00CB05C0">
                <w:rPr>
                  <w:rFonts w:ascii="Times New Roman" w:hAnsi="Times New Roman"/>
                  <w:b/>
                  <w:bCs/>
                  <w:sz w:val="28"/>
                  <w:szCs w:val="28"/>
                  <w:lang w:eastAsia="uk-UA"/>
                </w:rPr>
                <w:t>спектру</w:t>
              </w:r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 </w:t>
              </w:r>
              <w:r w:rsidRPr="00CB05C0" w:rsidR="00A73ABA">
                <w:rPr>
                  <w:rFonts w:ascii="Times New Roman" w:hAnsi="Times New Roman"/>
                  <w:sz w:val="28"/>
                  <w:szCs w:val="28"/>
                  <w:lang w:eastAsia="uk-UA"/>
                </w:rPr>
                <w:t>–</w:t>
              </w:r>
              <w:r w:rsidRPr="00CB05C0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 платників рентної плати</w:t>
              </w:r>
            </w:hyperlink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 та/або зміни до нього подаються центральному органу виконавчої влади, що реалізує державну податкову та митну політику,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національним регулятором в сфері електронних комунікацій</w:t>
            </w:r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із зазначенням виду зв’язку, смуги радіочастотного спектру, регіонів користування радіочастотним спектром двічі на рік до 1 березня та до 1 вересня поточного року станом на 1 січня та 1 липня відповідно за формою, встановленою центральним органом виконавчої влади, що забезпечує формування та реалізує державну фінансову політику, за погодженням </w:t>
            </w:r>
            <w:r w:rsidRPr="00CB05C0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 національним регулятором в сфері електронних комунікацій</w:t>
            </w:r>
            <w:r w:rsidRPr="00CB05C0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254.5.2. Платники рентної плати обчислюють суму рентної плати виходячи з виду радіозв’язку, розміру встановлених ставок та ширини смуги радіочастот по кожному регіону окремо.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254.5.2. Платники рентної плати обчислюють суму рентної плати виходячи з виду радіозв’язку, розміру встановлених ставок та ширини смуги радіочастот по кожному регіону окремо.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254.5.3. Платники рентної плати, яким надано право користуватися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 на підставі ліцензій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України, сплачують рентну плату починаючи з дати видачі ліцензії.</w:t>
            </w:r>
          </w:p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bookmarkStart w:id="5" w:name="n11577"/>
            <w:bookmarkEnd w:id="5"/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У разі продовження терміну дії ліцензії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ресурсом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 рентна плата сплачується з початку терміну дії продовженої ліцензії.</w:t>
            </w:r>
          </w:p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bookmarkStart w:id="6" w:name="n11578"/>
            <w:bookmarkEnd w:id="6"/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Інші платники рентної плати сплачують рентну плату починаючи з дати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видачі дозволу на експлуатацію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радіоелектронних засобів та випромінювальних пристроїв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. Сплата рентної плати здійснюється платниками рентної плати з дати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видачі першого дозволу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в даній смузі радіочастот у відповідному регіоні незалежно від загальної кількості дозволів, наданих платнику рентної плати в такій смузі радіочастот у певному регіоні, крім випадків, коли наступні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дозволи на експлуатацію радіоелектронного засобу та випромінювального пристрою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видані на пристрої, потужність яких передбачає застосування іншої, ніж у попередніх дозволах, ставки рентної плати.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254.5.3. Платники рентної плати, яким надано право користуватися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 на підставі ліцензій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України, сплачують рентну плату починаючи з дати видачі ліцензії.</w:t>
            </w:r>
          </w:p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У разі продовження терміну дії ліцензії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 рентна плата сплачується з початку терміну дії продовженої ліцензії.</w:t>
            </w:r>
          </w:p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Інші платники рентної плати сплачують рентну плату починаючи з дати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здійснення радіочастотного присвоєння радіообладнанню. 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Сплата рентної плати здійснюється платниками рентної плати з дати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здійснення першого радіочастотного присвоєння радіообладнанню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 в даній смузі радіочастот у відповідному регіоні незалежно від загальної кількості дозволів, наданих платнику рентної плати в такій смузі радіочастот у певному регіоні, крім випадків, коли наступні дозволи на експлуатацію радіоелектронного засобу та випромінювального пристрою, видані на пристрої, потужність яких передбачає застосування іншої, ніж у попередніх дозволах, ставки рентної плати.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254.5.4. Платники рентної плати подають до контролюючих органів копії ліцензій на користування радіочастотним ресурсом України, ліцензій на мовлення та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дозволів на експлуатацію радіоелектронних засобів та випромінювальних пристроїв 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 місячний строк після їх видачі.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A1410" w:rsidRPr="00CB05C0" w:rsidP="004674DF">
            <w:pPr>
              <w:shd w:val="clear" w:color="auto" w:fill="FFFFFF"/>
              <w:bidi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254.5.4. Платники рентної плати подають до контролюючих органів копії ліцензій на користування радіочастотним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спектром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України, ліцензій на мовлення та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радіочастотних присвоєнь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 місячний строк після їх видачі.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Розділ ХІХ. Прикінцеві положення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Розділ ХІХ. Прикінцеві положення</w:t>
            </w:r>
          </w:p>
        </w:tc>
      </w:tr>
      <w:tr>
        <w:tblPrEx>
          <w:tblW w:w="15163" w:type="dxa"/>
          <w:tblLook w:val="04A0"/>
        </w:tblPrEx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4. Кабінету Міністрів України:</w:t>
            </w:r>
          </w:p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щорічно до 1 червня у разі необхідності вносити до Верховної Ради України проект закону про внесення змін до цього Кодексу щодо ставок оподаткування, визначених в абсолютних значеннях, з урахуванням індексів споживчих цін виробників промислової продукції з таких податків і зборів:</w:t>
            </w:r>
          </w:p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3) рентна плата;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4. Кабінету Міністрів України:</w:t>
            </w:r>
          </w:p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щорічно до 1 червня у разі необхідності вносити до Верховної Ради України проект закону про внесення змін до цього Кодексу щодо ставок оподаткування, визначених в абсолютних значеннях, з урахуванням індексів споживчих цін виробників промислової продукції з таких податків і зборів:</w:t>
            </w:r>
          </w:p>
          <w:p w:rsidR="001F5C57" w:rsidRPr="00CB05C0" w:rsidP="004674DF">
            <w:pPr>
              <w:shd w:val="clear" w:color="auto" w:fill="FFFFFF"/>
              <w:bidi w:val="0"/>
              <w:spacing w:after="0" w:line="240" w:lineRule="auto"/>
              <w:ind w:firstLine="4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3) рентна плата 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(</w:t>
            </w:r>
            <w:r w:rsidRPr="00CB05C0" w:rsidR="00926DE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крім рентної плати за користування радіочастотним спектром)</w:t>
            </w:r>
            <w:r w:rsidRPr="00CB05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;</w:t>
            </w:r>
            <w:r w:rsidRPr="00CB05C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F0142B" w:rsidRPr="00CB05C0" w:rsidP="004674DF">
      <w:pPr>
        <w:bidi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bookmarkStart w:id="7" w:name="n11574"/>
      <w:bookmarkStart w:id="8" w:name="n14355"/>
      <w:bookmarkStart w:id="9" w:name="n11575"/>
      <w:bookmarkStart w:id="10" w:name="n11576"/>
      <w:bookmarkStart w:id="11" w:name="n14356"/>
      <w:bookmarkStart w:id="12" w:name="n11579"/>
      <w:bookmarkStart w:id="13" w:name="n11580"/>
      <w:bookmarkEnd w:id="7"/>
      <w:bookmarkEnd w:id="8"/>
      <w:bookmarkEnd w:id="9"/>
      <w:bookmarkEnd w:id="10"/>
      <w:bookmarkEnd w:id="11"/>
      <w:bookmarkEnd w:id="12"/>
      <w:bookmarkEnd w:id="13"/>
    </w:p>
    <w:p w:rsidR="00FE32FB" w:rsidP="00FE32FB">
      <w:pPr>
        <w:bidi w:val="0"/>
        <w:spacing w:before="40" w:after="120"/>
        <w:rPr>
          <w:rFonts w:ascii="Times New Roman" w:hAnsi="Times New Roman"/>
          <w:b/>
          <w:bCs/>
          <w:sz w:val="28"/>
          <w:szCs w:val="28"/>
        </w:rPr>
      </w:pPr>
    </w:p>
    <w:p w:rsidR="00FE32FB" w:rsidP="00FE32F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0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40"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Народні депутати України                                                                                                                                     Крячко М.В. (60)</w:t>
      </w:r>
    </w:p>
    <w:p w:rsidR="00FE32FB" w:rsidP="00FE32FB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Соха Р.В. (281)</w:t>
      </w:r>
    </w:p>
    <w:p w:rsidR="00FE32FB" w:rsidP="00FE32FB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Федієнко О.П. (89)</w:t>
      </w:r>
    </w:p>
    <w:p w:rsidR="00FE32FB" w:rsidP="00FE32FB">
      <w:pPr>
        <w:bidi w:val="0"/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Чернев Є.В. (26)</w:t>
      </w:r>
    </w:p>
    <w:p w:rsidR="00914461" w:rsidRPr="00CB05C0" w:rsidP="00FE32FB">
      <w:pPr>
        <w:bidi w:val="0"/>
        <w:spacing w:after="12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="00FE32FB">
        <w:rPr>
          <w:rFonts w:ascii="Times New Roman" w:hAnsi="Times New Roman"/>
          <w:b/>
          <w:bCs/>
          <w:sz w:val="28"/>
          <w:szCs w:val="28"/>
        </w:rPr>
        <w:t>Штепа С.С. (283)</w:t>
      </w:r>
    </w:p>
    <w:sectPr w:rsidSect="00631E65">
      <w:footerReference w:type="default" r:id="rId7"/>
      <w:pgSz w:w="16838" w:h="11906" w:orient="landscape"/>
      <w:pgMar w:top="993" w:right="850" w:bottom="850" w:left="85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10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:rsidR="00CA1410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60F"/>
    <w:multiLevelType w:val="hybridMultilevel"/>
    <w:tmpl w:val="93A465B8"/>
    <w:lvl w:ilvl="0">
      <w:start w:val="254"/>
      <w:numFmt w:val="bullet"/>
      <w:lvlJc w:val="left"/>
      <w:pPr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F4D63"/>
    <w:rsid w:val="000629F2"/>
    <w:rsid w:val="00074C02"/>
    <w:rsid w:val="000C5E03"/>
    <w:rsid w:val="000D0C8B"/>
    <w:rsid w:val="000F3BD2"/>
    <w:rsid w:val="000F76F2"/>
    <w:rsid w:val="001125F1"/>
    <w:rsid w:val="001153E9"/>
    <w:rsid w:val="00125CB6"/>
    <w:rsid w:val="001338AE"/>
    <w:rsid w:val="001476F2"/>
    <w:rsid w:val="00152324"/>
    <w:rsid w:val="00153966"/>
    <w:rsid w:val="00163E3D"/>
    <w:rsid w:val="00170190"/>
    <w:rsid w:val="00192690"/>
    <w:rsid w:val="001A6C80"/>
    <w:rsid w:val="001B12C9"/>
    <w:rsid w:val="001C721F"/>
    <w:rsid w:val="001F0045"/>
    <w:rsid w:val="001F5C57"/>
    <w:rsid w:val="00201275"/>
    <w:rsid w:val="00220B54"/>
    <w:rsid w:val="00230E8B"/>
    <w:rsid w:val="002343A6"/>
    <w:rsid w:val="00235223"/>
    <w:rsid w:val="00271413"/>
    <w:rsid w:val="00274C33"/>
    <w:rsid w:val="00275F60"/>
    <w:rsid w:val="002846C7"/>
    <w:rsid w:val="002A3EBA"/>
    <w:rsid w:val="002A5ABA"/>
    <w:rsid w:val="002A7112"/>
    <w:rsid w:val="002C02BA"/>
    <w:rsid w:val="00326924"/>
    <w:rsid w:val="00390412"/>
    <w:rsid w:val="003A30F6"/>
    <w:rsid w:val="00402778"/>
    <w:rsid w:val="0041693C"/>
    <w:rsid w:val="00421002"/>
    <w:rsid w:val="004674DF"/>
    <w:rsid w:val="00481328"/>
    <w:rsid w:val="004A4E15"/>
    <w:rsid w:val="004E51DB"/>
    <w:rsid w:val="004F7F56"/>
    <w:rsid w:val="0051005C"/>
    <w:rsid w:val="00543EBA"/>
    <w:rsid w:val="00565E00"/>
    <w:rsid w:val="00593268"/>
    <w:rsid w:val="005F4D63"/>
    <w:rsid w:val="00603C3E"/>
    <w:rsid w:val="00611C09"/>
    <w:rsid w:val="00627C5F"/>
    <w:rsid w:val="00631E65"/>
    <w:rsid w:val="006A285D"/>
    <w:rsid w:val="006A7836"/>
    <w:rsid w:val="006C50B2"/>
    <w:rsid w:val="007251EA"/>
    <w:rsid w:val="00775895"/>
    <w:rsid w:val="007A4BE2"/>
    <w:rsid w:val="007E08A8"/>
    <w:rsid w:val="007F075D"/>
    <w:rsid w:val="00801B8C"/>
    <w:rsid w:val="00844271"/>
    <w:rsid w:val="008A4AB3"/>
    <w:rsid w:val="008A7545"/>
    <w:rsid w:val="008B1770"/>
    <w:rsid w:val="008C7AFB"/>
    <w:rsid w:val="008E5BF4"/>
    <w:rsid w:val="008E74FF"/>
    <w:rsid w:val="009122F4"/>
    <w:rsid w:val="00914461"/>
    <w:rsid w:val="0092190C"/>
    <w:rsid w:val="00924516"/>
    <w:rsid w:val="00926DEE"/>
    <w:rsid w:val="00930BA7"/>
    <w:rsid w:val="00961E60"/>
    <w:rsid w:val="00992411"/>
    <w:rsid w:val="009A35F1"/>
    <w:rsid w:val="009C0EC8"/>
    <w:rsid w:val="009D6159"/>
    <w:rsid w:val="00A23B61"/>
    <w:rsid w:val="00A35F6C"/>
    <w:rsid w:val="00A4559B"/>
    <w:rsid w:val="00A5570E"/>
    <w:rsid w:val="00A60AC1"/>
    <w:rsid w:val="00A73ABA"/>
    <w:rsid w:val="00A87C47"/>
    <w:rsid w:val="00A96F81"/>
    <w:rsid w:val="00AA5CB1"/>
    <w:rsid w:val="00B23270"/>
    <w:rsid w:val="00B24D1E"/>
    <w:rsid w:val="00B47A79"/>
    <w:rsid w:val="00B636BC"/>
    <w:rsid w:val="00B66FDA"/>
    <w:rsid w:val="00B7312B"/>
    <w:rsid w:val="00B76292"/>
    <w:rsid w:val="00B7758C"/>
    <w:rsid w:val="00B84ABE"/>
    <w:rsid w:val="00B8522B"/>
    <w:rsid w:val="00B91ADD"/>
    <w:rsid w:val="00BA5B8F"/>
    <w:rsid w:val="00BB6B7B"/>
    <w:rsid w:val="00BC0169"/>
    <w:rsid w:val="00BC7C0E"/>
    <w:rsid w:val="00BD6C6A"/>
    <w:rsid w:val="00BE7F9D"/>
    <w:rsid w:val="00C315F3"/>
    <w:rsid w:val="00C666AA"/>
    <w:rsid w:val="00C770A3"/>
    <w:rsid w:val="00CA1410"/>
    <w:rsid w:val="00CB05C0"/>
    <w:rsid w:val="00CB5C52"/>
    <w:rsid w:val="00CF7FBC"/>
    <w:rsid w:val="00D27487"/>
    <w:rsid w:val="00D6365B"/>
    <w:rsid w:val="00D8654C"/>
    <w:rsid w:val="00DB6B52"/>
    <w:rsid w:val="00DF693E"/>
    <w:rsid w:val="00E15790"/>
    <w:rsid w:val="00E160F2"/>
    <w:rsid w:val="00E26596"/>
    <w:rsid w:val="00E9365F"/>
    <w:rsid w:val="00EE01B7"/>
    <w:rsid w:val="00EF7929"/>
    <w:rsid w:val="00F0142B"/>
    <w:rsid w:val="00F07FC4"/>
    <w:rsid w:val="00F10A66"/>
    <w:rsid w:val="00F6731F"/>
    <w:rsid w:val="00F827F6"/>
    <w:rsid w:val="00F85E4C"/>
    <w:rsid w:val="00FD4559"/>
    <w:rsid w:val="00FD6961"/>
    <w:rsid w:val="00FE32FB"/>
    <w:rsid w:val="00FF4E37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7589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Normal"/>
    <w:rsid w:val="00775895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a"/>
    <w:uiPriority w:val="99"/>
    <w:semiHidden/>
    <w:unhideWhenUsed/>
    <w:rsid w:val="008E74FF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sid w:val="008E74FF"/>
    <w:rPr>
      <w:rFonts w:ascii="Segoe UI" w:hAnsi="Segoe UI" w:cs="Segoe UI"/>
      <w:sz w:val="18"/>
      <w:szCs w:val="18"/>
      <w:rtl w:val="0"/>
      <w:cs w:val="0"/>
    </w:rPr>
  </w:style>
  <w:style w:type="paragraph" w:styleId="ListParagraph">
    <w:name w:val="List Paragraph"/>
    <w:basedOn w:val="Normal"/>
    <w:uiPriority w:val="34"/>
    <w:qFormat/>
    <w:rsid w:val="00631E65"/>
    <w:pPr>
      <w:ind w:left="720"/>
      <w:contextualSpacing/>
      <w:jc w:val="left"/>
    </w:pPr>
  </w:style>
  <w:style w:type="paragraph" w:styleId="HTMLPreformatted">
    <w:name w:val="HTML Preformatted"/>
    <w:basedOn w:val="Normal"/>
    <w:link w:val="HTML"/>
    <w:uiPriority w:val="99"/>
    <w:rsid w:val="00EF7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000000"/>
      <w:sz w:val="14"/>
      <w:szCs w:val="14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EF7929"/>
    <w:rPr>
      <w:rFonts w:ascii="Courier New" w:hAnsi="Courier New" w:cs="Courier New"/>
      <w:color w:val="000000"/>
      <w:sz w:val="14"/>
      <w:szCs w:val="14"/>
      <w:rtl w:val="0"/>
      <w:cs w:val="0"/>
      <w:lang w:val="x-none" w:eastAsia="ru-RU"/>
    </w:rPr>
  </w:style>
  <w:style w:type="paragraph" w:styleId="Header">
    <w:name w:val="header"/>
    <w:basedOn w:val="Normal"/>
    <w:link w:val="a0"/>
    <w:uiPriority w:val="99"/>
    <w:unhideWhenUsed/>
    <w:rsid w:val="00CA1410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Верхний колонтитул Знак"/>
    <w:basedOn w:val="DefaultParagraphFont"/>
    <w:link w:val="Header"/>
    <w:uiPriority w:val="99"/>
    <w:locked/>
    <w:rsid w:val="00CA1410"/>
    <w:rPr>
      <w:rFonts w:cs="Times New Roman"/>
      <w:rtl w:val="0"/>
      <w:cs w:val="0"/>
    </w:rPr>
  </w:style>
  <w:style w:type="paragraph" w:styleId="Footer">
    <w:name w:val="footer"/>
    <w:basedOn w:val="Normal"/>
    <w:link w:val="a1"/>
    <w:uiPriority w:val="99"/>
    <w:unhideWhenUsed/>
    <w:rsid w:val="00CA1410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1">
    <w:name w:val="Нижний колонтитул Знак"/>
    <w:basedOn w:val="DefaultParagraphFont"/>
    <w:link w:val="Footer"/>
    <w:uiPriority w:val="99"/>
    <w:locked/>
    <w:rsid w:val="00CA1410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yperlink" Target="https://zakon.rada.gov.ua/laws/show/z1456-15" TargetMode="Externa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C5945FF70B693479696A2D9F3DB99C0" ma:contentTypeVersion="4" ma:contentTypeDescription="Створення нового документа." ma:contentTypeScope="" ma:versionID="79b4b164475f09c7d49066148f60152b">
  <xsd:schema xmlns:xsd="http://www.w3.org/2001/XMLSchema" xmlns:xs="http://www.w3.org/2001/XMLSchema" xmlns:p="http://schemas.microsoft.com/office/2006/metadata/properties" xmlns:ns2="62052c39-ae15-4c5d-841c-a94b350b123d" xmlns:ns3="333a9da2-3740-45f4-b469-8c6b58d6cae7" targetNamespace="http://schemas.microsoft.com/office/2006/metadata/properties" ma:root="true" ma:fieldsID="a916817b6eee3ffbde4f1d12689d9021" ns2:_="" ns3:_="">
    <xsd:import namespace="62052c39-ae15-4c5d-841c-a94b350b123d"/>
    <xsd:import namespace="333a9da2-3740-45f4-b469-8c6b58d6c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52c39-ae15-4c5d-841c-a94b350b1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a9da2-3740-45f4-b469-8c6b58d6c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DFD1E-8401-49AD-A5C1-3D367AF6E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52c39-ae15-4c5d-841c-a94b350b123d"/>
    <ds:schemaRef ds:uri="333a9da2-3740-45f4-b469-8c6b58d6c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2768A-8336-4BB1-A37A-EE59AB4939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6</Pages>
  <Words>9194</Words>
  <Characters>5241</Characters>
  <Application>Microsoft Office Word</Application>
  <DocSecurity>0</DocSecurity>
  <Lines>0</Lines>
  <Paragraphs>0</Paragraphs>
  <ScaleCrop>false</ScaleCrop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Nadiia Kostryba</dc:creator>
  <cp:lastModifiedBy>Nadiia Kostryba</cp:lastModifiedBy>
  <cp:revision>6</cp:revision>
  <dcterms:created xsi:type="dcterms:W3CDTF">2019-10-28T13:53:00Z</dcterms:created>
  <dcterms:modified xsi:type="dcterms:W3CDTF">2019-10-28T16:08:00Z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0x0101005C5945FF70B693479696A2D9F3DB99C0</vt:lpwstr>
  </property>
</Properties>
</file>