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DE5" w:rsidRPr="00616A0E" w:rsidRDefault="00A84DE5" w:rsidP="007D3F57">
      <w:pPr>
        <w:pStyle w:val="a3"/>
        <w:spacing w:after="0"/>
        <w:rPr>
          <w:b/>
          <w:bCs/>
          <w:szCs w:val="24"/>
        </w:rPr>
      </w:pPr>
      <w:r w:rsidRPr="00616A0E">
        <w:rPr>
          <w:b/>
          <w:bCs/>
          <w:szCs w:val="24"/>
        </w:rPr>
        <w:t>ПОРІВНЯЛЬНА ТАБЛИЦЯ</w:t>
      </w:r>
      <w:r w:rsidR="00330846" w:rsidRPr="00616A0E">
        <w:rPr>
          <w:b/>
          <w:bCs/>
          <w:szCs w:val="24"/>
        </w:rPr>
        <w:br/>
      </w:r>
      <w:r w:rsidRPr="00616A0E">
        <w:rPr>
          <w:b/>
          <w:bCs/>
          <w:szCs w:val="24"/>
        </w:rPr>
        <w:t xml:space="preserve">до проекту Закону України </w:t>
      </w:r>
      <w:r w:rsidRPr="00616A0E">
        <w:rPr>
          <w:color w:val="000000"/>
          <w:szCs w:val="24"/>
        </w:rPr>
        <w:t>"</w:t>
      </w:r>
      <w:r w:rsidRPr="00616A0E">
        <w:rPr>
          <w:b/>
          <w:bCs/>
          <w:szCs w:val="24"/>
        </w:rPr>
        <w:t xml:space="preserve">Про внесення змін до </w:t>
      </w:r>
      <w:r w:rsidR="007D3F57">
        <w:rPr>
          <w:b/>
          <w:bCs/>
          <w:szCs w:val="24"/>
        </w:rPr>
        <w:t xml:space="preserve">статті 6 </w:t>
      </w:r>
      <w:r w:rsidRPr="00616A0E">
        <w:rPr>
          <w:b/>
          <w:bCs/>
          <w:szCs w:val="24"/>
        </w:rPr>
        <w:t xml:space="preserve">Закону України </w:t>
      </w:r>
      <w:r w:rsidRPr="00616A0E">
        <w:rPr>
          <w:color w:val="000000"/>
          <w:szCs w:val="24"/>
        </w:rPr>
        <w:t>"</w:t>
      </w:r>
      <w:r w:rsidRPr="00616A0E">
        <w:rPr>
          <w:b/>
          <w:szCs w:val="24"/>
        </w:rPr>
        <w:t>Про Державний бюджет України на 20</w:t>
      </w:r>
      <w:r w:rsidR="00E170D0" w:rsidRPr="00616A0E">
        <w:rPr>
          <w:b/>
          <w:szCs w:val="24"/>
        </w:rPr>
        <w:t>20</w:t>
      </w:r>
      <w:r w:rsidR="00EB3295">
        <w:rPr>
          <w:b/>
          <w:szCs w:val="24"/>
          <w:lang w:val="ru-RU"/>
        </w:rPr>
        <w:t> </w:t>
      </w:r>
      <w:r w:rsidRPr="00616A0E">
        <w:rPr>
          <w:b/>
          <w:szCs w:val="24"/>
        </w:rPr>
        <w:t>рік</w:t>
      </w:r>
      <w:r w:rsidRPr="00616A0E">
        <w:rPr>
          <w:color w:val="000000"/>
          <w:szCs w:val="24"/>
        </w:rPr>
        <w:t>"</w:t>
      </w:r>
      <w:r w:rsidR="00330846" w:rsidRPr="00616A0E">
        <w:rPr>
          <w:color w:val="000000"/>
          <w:szCs w:val="24"/>
        </w:rPr>
        <w:t xml:space="preserve"> </w:t>
      </w:r>
      <w:r w:rsidR="00330846" w:rsidRPr="00616A0E">
        <w:rPr>
          <w:b/>
          <w:color w:val="000000"/>
          <w:szCs w:val="24"/>
        </w:rPr>
        <w:t>(реєстр. № 3</w:t>
      </w:r>
      <w:r w:rsidR="00CC75F0">
        <w:rPr>
          <w:b/>
          <w:color w:val="000000"/>
          <w:szCs w:val="24"/>
        </w:rPr>
        <w:t>659</w:t>
      </w:r>
      <w:r w:rsidR="00330846" w:rsidRPr="00616A0E">
        <w:rPr>
          <w:b/>
          <w:color w:val="000000"/>
          <w:szCs w:val="24"/>
        </w:rPr>
        <w:t>)</w:t>
      </w:r>
      <w:r w:rsidR="005149F8" w:rsidRPr="00616A0E">
        <w:rPr>
          <w:b/>
          <w:color w:val="000000"/>
          <w:szCs w:val="24"/>
        </w:rPr>
        <w:t xml:space="preserve"> при підготовці його до повторного першого читання</w:t>
      </w:r>
    </w:p>
    <w:p w:rsidR="00A84DE5" w:rsidRPr="00616A0E" w:rsidRDefault="00A84DE5" w:rsidP="007D3F57">
      <w:pPr>
        <w:jc w:val="both"/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1"/>
        <w:gridCol w:w="5101"/>
        <w:gridCol w:w="5102"/>
      </w:tblGrid>
      <w:tr w:rsidR="00C30536" w:rsidRPr="00616A0E" w:rsidTr="001D6629">
        <w:trPr>
          <w:tblHeader/>
          <w:jc w:val="center"/>
        </w:trPr>
        <w:tc>
          <w:tcPr>
            <w:tcW w:w="5101" w:type="dxa"/>
            <w:shd w:val="clear" w:color="auto" w:fill="FFF2CC" w:themeFill="accent4" w:themeFillTint="33"/>
          </w:tcPr>
          <w:p w:rsidR="00C30536" w:rsidRPr="00616A0E" w:rsidRDefault="00C30536" w:rsidP="005F611A">
            <w:pPr>
              <w:jc w:val="center"/>
              <w:rPr>
                <w:i/>
              </w:rPr>
            </w:pPr>
            <w:r w:rsidRPr="00616A0E">
              <w:rPr>
                <w:i/>
              </w:rPr>
              <w:t xml:space="preserve">Зміст положення </w:t>
            </w:r>
            <w:r w:rsidR="00330846" w:rsidRPr="00616A0E">
              <w:rPr>
                <w:i/>
              </w:rPr>
              <w:t xml:space="preserve">у Законі </w:t>
            </w:r>
            <w:r w:rsidR="005149F8" w:rsidRPr="00616A0E">
              <w:rPr>
                <w:i/>
              </w:rPr>
              <w:t xml:space="preserve">України «Про </w:t>
            </w:r>
            <w:r w:rsidR="00CC75F0">
              <w:rPr>
                <w:i/>
              </w:rPr>
              <w:t>Д</w:t>
            </w:r>
            <w:r w:rsidR="005149F8" w:rsidRPr="00616A0E">
              <w:rPr>
                <w:i/>
              </w:rPr>
              <w:t>ержавний бюджет України на 2020</w:t>
            </w:r>
            <w:r w:rsidR="005F611A">
              <w:rPr>
                <w:i/>
                <w:lang w:val="ru-RU"/>
              </w:rPr>
              <w:t> </w:t>
            </w:r>
            <w:r w:rsidR="005149F8" w:rsidRPr="00616A0E">
              <w:rPr>
                <w:i/>
              </w:rPr>
              <w:t>рік»</w:t>
            </w:r>
          </w:p>
        </w:tc>
        <w:tc>
          <w:tcPr>
            <w:tcW w:w="5101" w:type="dxa"/>
            <w:shd w:val="clear" w:color="auto" w:fill="FFF2CC" w:themeFill="accent4" w:themeFillTint="33"/>
          </w:tcPr>
          <w:p w:rsidR="00C30536" w:rsidRPr="00616A0E" w:rsidRDefault="00C30536" w:rsidP="007D3F57">
            <w:pPr>
              <w:jc w:val="center"/>
              <w:rPr>
                <w:i/>
              </w:rPr>
            </w:pPr>
            <w:r w:rsidRPr="00616A0E">
              <w:rPr>
                <w:bCs/>
                <w:i/>
              </w:rPr>
              <w:t xml:space="preserve">Зміст відповідного положення </w:t>
            </w:r>
            <w:r w:rsidR="00330846" w:rsidRPr="00616A0E">
              <w:rPr>
                <w:bCs/>
                <w:i/>
              </w:rPr>
              <w:t xml:space="preserve">в </w:t>
            </w:r>
            <w:r w:rsidRPr="00616A0E">
              <w:rPr>
                <w:bCs/>
                <w:i/>
              </w:rPr>
              <w:t>у</w:t>
            </w:r>
            <w:r w:rsidR="00330846" w:rsidRPr="00616A0E">
              <w:rPr>
                <w:bCs/>
                <w:i/>
              </w:rPr>
              <w:t xml:space="preserve">рядовому </w:t>
            </w:r>
            <w:r w:rsidRPr="00616A0E">
              <w:rPr>
                <w:bCs/>
                <w:i/>
              </w:rPr>
              <w:t xml:space="preserve">законопроекті </w:t>
            </w:r>
            <w:r w:rsidR="00EF5BF2" w:rsidRPr="00616A0E">
              <w:rPr>
                <w:bCs/>
                <w:i/>
              </w:rPr>
              <w:t xml:space="preserve">за реєстр. </w:t>
            </w:r>
            <w:r w:rsidRPr="00616A0E">
              <w:rPr>
                <w:bCs/>
                <w:i/>
              </w:rPr>
              <w:t>№ 3</w:t>
            </w:r>
            <w:r w:rsidR="00CC75F0">
              <w:rPr>
                <w:bCs/>
                <w:i/>
              </w:rPr>
              <w:t>659</w:t>
            </w:r>
          </w:p>
        </w:tc>
        <w:tc>
          <w:tcPr>
            <w:tcW w:w="5102" w:type="dxa"/>
            <w:shd w:val="clear" w:color="auto" w:fill="FFF2CC" w:themeFill="accent4" w:themeFillTint="33"/>
          </w:tcPr>
          <w:p w:rsidR="00C30536" w:rsidRPr="00616A0E" w:rsidRDefault="00C30536" w:rsidP="007D3F57">
            <w:pPr>
              <w:jc w:val="center"/>
              <w:rPr>
                <w:i/>
              </w:rPr>
            </w:pPr>
            <w:r w:rsidRPr="00616A0E">
              <w:rPr>
                <w:bCs/>
                <w:i/>
              </w:rPr>
              <w:t>Зміст відповідного положення</w:t>
            </w:r>
            <w:r w:rsidR="00330846" w:rsidRPr="00616A0E">
              <w:rPr>
                <w:bCs/>
                <w:i/>
              </w:rPr>
              <w:t xml:space="preserve"> в доопрацьованому </w:t>
            </w:r>
            <w:r w:rsidRPr="00616A0E">
              <w:rPr>
                <w:bCs/>
                <w:i/>
              </w:rPr>
              <w:t>Комітетом</w:t>
            </w:r>
            <w:r w:rsidR="00330846" w:rsidRPr="00616A0E">
              <w:rPr>
                <w:bCs/>
                <w:i/>
              </w:rPr>
              <w:t xml:space="preserve"> законопроекті</w:t>
            </w:r>
          </w:p>
        </w:tc>
      </w:tr>
      <w:tr w:rsidR="007D3F57" w:rsidRPr="00616A0E" w:rsidTr="001D6629">
        <w:trPr>
          <w:jc w:val="center"/>
        </w:trPr>
        <w:tc>
          <w:tcPr>
            <w:tcW w:w="5101" w:type="dxa"/>
          </w:tcPr>
          <w:p w:rsidR="007D3F57" w:rsidRPr="00616A0E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1" w:type="dxa"/>
          </w:tcPr>
          <w:p w:rsidR="007D3F57" w:rsidRPr="00EB3295" w:rsidRDefault="007D3F57" w:rsidP="007D3F57">
            <w:pPr>
              <w:pStyle w:val="a6"/>
              <w:ind w:left="0" w:firstLine="284"/>
              <w:contextualSpacing w:val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EB3295">
              <w:rPr>
                <w:rFonts w:ascii="Times New Roman" w:hAnsi="Times New Roman"/>
                <w:i/>
                <w:sz w:val="24"/>
                <w:szCs w:val="24"/>
              </w:rPr>
              <w:t>Проект</w:t>
            </w:r>
          </w:p>
          <w:p w:rsidR="007D3F57" w:rsidRPr="00EB3295" w:rsidRDefault="007D3F57" w:rsidP="007D3F57">
            <w:pPr>
              <w:pStyle w:val="a6"/>
              <w:ind w:left="0" w:firstLine="25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295">
              <w:rPr>
                <w:rFonts w:ascii="Times New Roman" w:hAnsi="Times New Roman"/>
                <w:sz w:val="24"/>
                <w:szCs w:val="24"/>
              </w:rPr>
              <w:t>Закон України</w:t>
            </w:r>
          </w:p>
          <w:p w:rsidR="007D3F57" w:rsidRPr="007D3F57" w:rsidRDefault="007D3F57" w:rsidP="007D3F57">
            <w:pPr>
              <w:pStyle w:val="a6"/>
              <w:ind w:left="0" w:firstLine="25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3295">
              <w:rPr>
                <w:rFonts w:ascii="Times New Roman" w:hAnsi="Times New Roman"/>
                <w:sz w:val="24"/>
                <w:szCs w:val="24"/>
              </w:rPr>
              <w:t xml:space="preserve">Про внесення змін до </w:t>
            </w:r>
            <w:r w:rsidRPr="00EB3295">
              <w:rPr>
                <w:rFonts w:ascii="Times New Roman" w:hAnsi="Times New Roman"/>
                <w:b/>
                <w:bCs/>
                <w:sz w:val="24"/>
                <w:szCs w:val="24"/>
              </w:rPr>
              <w:t>статті 6</w:t>
            </w:r>
            <w:r w:rsidRPr="00EB3295">
              <w:rPr>
                <w:rFonts w:ascii="Times New Roman" w:hAnsi="Times New Roman"/>
                <w:bCs/>
                <w:sz w:val="24"/>
                <w:szCs w:val="24"/>
              </w:rPr>
              <w:t xml:space="preserve"> Закону України </w:t>
            </w:r>
            <w:r w:rsidRPr="00EB329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EB3295">
              <w:rPr>
                <w:rFonts w:ascii="Times New Roman" w:hAnsi="Times New Roman"/>
                <w:sz w:val="24"/>
                <w:szCs w:val="24"/>
              </w:rPr>
              <w:t>Про Державний бюджет України на 2020 рік</w:t>
            </w:r>
            <w:r w:rsidRPr="00EB329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102" w:type="dxa"/>
          </w:tcPr>
          <w:p w:rsidR="007D3F57" w:rsidRPr="00EB3295" w:rsidRDefault="007D3F57" w:rsidP="007D3F57">
            <w:pPr>
              <w:pStyle w:val="a6"/>
              <w:ind w:left="0" w:firstLine="284"/>
              <w:contextualSpacing w:val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EB3295">
              <w:rPr>
                <w:rFonts w:ascii="Times New Roman" w:hAnsi="Times New Roman"/>
                <w:i/>
                <w:sz w:val="24"/>
                <w:szCs w:val="24"/>
              </w:rPr>
              <w:t>Проект (доопрацьований)</w:t>
            </w:r>
          </w:p>
          <w:p w:rsidR="007D3F57" w:rsidRPr="00EB3295" w:rsidRDefault="007D3F57" w:rsidP="007D3F57">
            <w:pPr>
              <w:pStyle w:val="a6"/>
              <w:ind w:left="0" w:firstLine="25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295">
              <w:rPr>
                <w:rFonts w:ascii="Times New Roman" w:hAnsi="Times New Roman"/>
                <w:sz w:val="24"/>
                <w:szCs w:val="24"/>
              </w:rPr>
              <w:t>Закон України</w:t>
            </w:r>
          </w:p>
          <w:p w:rsidR="007D3F57" w:rsidRPr="00EB3295" w:rsidRDefault="007D3F57" w:rsidP="007D3F57">
            <w:pPr>
              <w:pStyle w:val="a6"/>
              <w:ind w:left="0" w:firstLine="25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B3295">
              <w:rPr>
                <w:rFonts w:ascii="Times New Roman" w:hAnsi="Times New Roman"/>
                <w:sz w:val="24"/>
                <w:szCs w:val="24"/>
              </w:rPr>
              <w:t xml:space="preserve">Про внесення змін до </w:t>
            </w:r>
            <w:r w:rsidRPr="00EB3295">
              <w:rPr>
                <w:rFonts w:ascii="Times New Roman" w:hAnsi="Times New Roman"/>
                <w:bCs/>
                <w:sz w:val="24"/>
                <w:szCs w:val="24"/>
              </w:rPr>
              <w:t xml:space="preserve">Закону України </w:t>
            </w:r>
            <w:r w:rsidRPr="00EB329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EB3295">
              <w:rPr>
                <w:rFonts w:ascii="Times New Roman" w:hAnsi="Times New Roman"/>
                <w:sz w:val="24"/>
                <w:szCs w:val="24"/>
              </w:rPr>
              <w:t>Про Державний бюджет України на 2020 рік"</w:t>
            </w:r>
            <w:r w:rsidR="00EB3295" w:rsidRPr="00EB3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295">
              <w:rPr>
                <w:rFonts w:ascii="Times New Roman" w:hAnsi="Times New Roman"/>
                <w:sz w:val="24"/>
                <w:szCs w:val="24"/>
              </w:rPr>
              <w:br/>
            </w:r>
            <w:r w:rsidR="00EB3295" w:rsidRPr="00EB3295">
              <w:rPr>
                <w:rFonts w:ascii="Times New Roman" w:hAnsi="Times New Roman"/>
                <w:b/>
                <w:sz w:val="24"/>
                <w:szCs w:val="24"/>
              </w:rPr>
              <w:t>щодо надання державних гарантій на портфельній основі та впровадження фінансово-кредитних механізмів забезпечення громадян України житлом</w:t>
            </w:r>
          </w:p>
        </w:tc>
      </w:tr>
      <w:tr w:rsidR="007D3F57" w:rsidRPr="00616A0E" w:rsidTr="001D6629">
        <w:trPr>
          <w:jc w:val="center"/>
        </w:trPr>
        <w:tc>
          <w:tcPr>
            <w:tcW w:w="5101" w:type="dxa"/>
          </w:tcPr>
          <w:p w:rsidR="007D3F57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n4"/>
            <w:bookmarkEnd w:id="0"/>
            <w:r w:rsidRPr="00EB3295">
              <w:rPr>
                <w:rFonts w:ascii="Times New Roman" w:hAnsi="Times New Roman"/>
                <w:sz w:val="24"/>
                <w:szCs w:val="24"/>
              </w:rPr>
              <w:t>Стаття</w:t>
            </w:r>
            <w:r w:rsidR="00EB3295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EB3295">
              <w:rPr>
                <w:rFonts w:ascii="Times New Roman" w:hAnsi="Times New Roman"/>
                <w:sz w:val="24"/>
                <w:szCs w:val="24"/>
              </w:rPr>
              <w:t>6. Установити, що у 2020 році державні гарантії</w:t>
            </w:r>
            <w:r w:rsidRPr="00616A0E">
              <w:rPr>
                <w:rFonts w:ascii="Times New Roman" w:hAnsi="Times New Roman"/>
                <w:sz w:val="24"/>
                <w:szCs w:val="24"/>
              </w:rPr>
              <w:t xml:space="preserve"> можуть </w:t>
            </w:r>
            <w:r w:rsidRPr="00CC75F0">
              <w:rPr>
                <w:rFonts w:ascii="Times New Roman" w:hAnsi="Times New Roman"/>
                <w:sz w:val="24"/>
                <w:szCs w:val="24"/>
              </w:rPr>
              <w:t>надаватися, зокрема:</w:t>
            </w:r>
          </w:p>
          <w:p w:rsidR="007D3F57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F0">
              <w:rPr>
                <w:rFonts w:ascii="Times New Roman" w:hAnsi="Times New Roman"/>
                <w:sz w:val="24"/>
                <w:szCs w:val="24"/>
              </w:rPr>
              <w:t>1) за рішенням Кабінету Міністрів України та як виняток з положень частини першої статті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C75F0">
              <w:rPr>
                <w:rFonts w:ascii="Times New Roman" w:hAnsi="Times New Roman"/>
                <w:sz w:val="24"/>
                <w:szCs w:val="24"/>
              </w:rPr>
              <w:t xml:space="preserve">17 Бюджетного кодексу України за </w:t>
            </w:r>
            <w:r w:rsidRPr="00CC75F0">
              <w:rPr>
                <w:rFonts w:ascii="Times New Roman" w:hAnsi="Times New Roman"/>
                <w:color w:val="000000"/>
                <w:sz w:val="24"/>
                <w:szCs w:val="24"/>
              </w:rPr>
              <w:t>погодженням з Комітетом Верховної Ради України з питань бюджету:</w:t>
            </w:r>
          </w:p>
          <w:p w:rsidR="007D3F57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7D3F57" w:rsidRPr="00616A0E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1" w:type="dxa"/>
          </w:tcPr>
          <w:p w:rsidR="007D3F57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295">
              <w:rPr>
                <w:rFonts w:ascii="Times New Roman" w:hAnsi="Times New Roman"/>
                <w:sz w:val="24"/>
                <w:szCs w:val="24"/>
              </w:rPr>
              <w:t>Стаття</w:t>
            </w:r>
            <w:r w:rsidR="00EB3295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EB3295">
              <w:rPr>
                <w:rFonts w:ascii="Times New Roman" w:hAnsi="Times New Roman"/>
                <w:sz w:val="24"/>
                <w:szCs w:val="24"/>
              </w:rPr>
              <w:t>6.</w:t>
            </w:r>
            <w:r w:rsidRPr="00616A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16A0E">
              <w:rPr>
                <w:rFonts w:ascii="Times New Roman" w:hAnsi="Times New Roman"/>
                <w:sz w:val="24"/>
                <w:szCs w:val="24"/>
              </w:rPr>
              <w:t>Установити, що у 2020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16A0E">
              <w:rPr>
                <w:rFonts w:ascii="Times New Roman" w:hAnsi="Times New Roman"/>
                <w:sz w:val="24"/>
                <w:szCs w:val="24"/>
              </w:rPr>
              <w:t xml:space="preserve">році державні гарантії можуть </w:t>
            </w:r>
            <w:r w:rsidRPr="00CC75F0">
              <w:rPr>
                <w:rFonts w:ascii="Times New Roman" w:hAnsi="Times New Roman"/>
                <w:sz w:val="24"/>
                <w:szCs w:val="24"/>
              </w:rPr>
              <w:t>надаватися, зокрема:</w:t>
            </w:r>
          </w:p>
          <w:p w:rsidR="007D3F57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F0">
              <w:rPr>
                <w:rFonts w:ascii="Times New Roman" w:hAnsi="Times New Roman"/>
                <w:sz w:val="24"/>
                <w:szCs w:val="24"/>
              </w:rPr>
              <w:t>1) за рішенням Кабінету Міністрів України та як виняток з положень частини першої статті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C75F0">
              <w:rPr>
                <w:rFonts w:ascii="Times New Roman" w:hAnsi="Times New Roman"/>
                <w:sz w:val="24"/>
                <w:szCs w:val="24"/>
              </w:rPr>
              <w:t>17 Бюджетного кодексу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75F0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CC75F0">
              <w:rPr>
                <w:rFonts w:ascii="Times New Roman" w:hAnsi="Times New Roman"/>
                <w:color w:val="000000"/>
                <w:sz w:val="24"/>
                <w:szCs w:val="24"/>
              </w:rPr>
              <w:t>погодженням з Комітетом Верховної Ради України з питань бюджету:</w:t>
            </w:r>
          </w:p>
          <w:p w:rsidR="007D3F57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7D3F57" w:rsidRPr="00CC75F0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ґ) для забезпечення виконання боргових зобов’язань приватного акціонерного товариства «</w:t>
            </w:r>
            <w:proofErr w:type="spellStart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Укргідроенерго</w:t>
            </w:r>
            <w:proofErr w:type="spellEnd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 xml:space="preserve">» за кредитами (позиками), що залучаються для фінансування інвестиційного проекту будівництва третьої черги Дністровської </w:t>
            </w:r>
            <w:proofErr w:type="spellStart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гідроакумулюючої</w:t>
            </w:r>
            <w:proofErr w:type="spellEnd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 xml:space="preserve"> електричної станції, інвестиційного проекту будівництва Канівської </w:t>
            </w:r>
            <w:proofErr w:type="spellStart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гідроакумулюючої</w:t>
            </w:r>
            <w:proofErr w:type="spellEnd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 xml:space="preserve"> електричної станції.</w:t>
            </w:r>
          </w:p>
          <w:p w:rsidR="007D3F57" w:rsidRPr="00CC75F0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Приватне акціонерне товариство «</w:t>
            </w:r>
            <w:proofErr w:type="spellStart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Укргідроенерго</w:t>
            </w:r>
            <w:proofErr w:type="spellEnd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 xml:space="preserve">» за рішенням Кабінету </w:t>
            </w:r>
            <w:r w:rsidRPr="00CC75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Міністрів України може звільнятися від зобов’язання надати майнове або інше забезпечення виконання зобов’язань за державними гарантіями та сплачувати до державного бюджету плату за їх надання;</w:t>
            </w:r>
          </w:p>
          <w:p w:rsidR="007D3F57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F0">
              <w:rPr>
                <w:rFonts w:ascii="Times New Roman" w:hAnsi="Times New Roman"/>
                <w:b/>
                <w:sz w:val="24"/>
                <w:szCs w:val="24"/>
              </w:rPr>
              <w:t xml:space="preserve">д) для забезпечення часткового виконання боргових зобов’язань за портфелем кредитів банків-кредиторів, наданих суб’єктам господарювання </w:t>
            </w:r>
            <w:proofErr w:type="spellStart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мікропідприємництва</w:t>
            </w:r>
            <w:proofErr w:type="spellEnd"/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, малого та/або середнього підприємництва — резидентам України (в обсязі до 5.000.000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CC75F0">
              <w:rPr>
                <w:rFonts w:ascii="Times New Roman" w:hAnsi="Times New Roman"/>
                <w:b/>
                <w:sz w:val="24"/>
                <w:szCs w:val="24"/>
              </w:rPr>
              <w:t>тис. гривень).</w:t>
            </w:r>
          </w:p>
          <w:p w:rsidR="007D3F57" w:rsidRPr="00CC75F0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F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102" w:type="dxa"/>
          </w:tcPr>
          <w:p w:rsidR="005F611A" w:rsidRDefault="005F611A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7D3F57" w:rsidRPr="00CC75F0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C75F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/не передбачено змін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 статті</w:t>
            </w:r>
            <w:r w:rsidRPr="007D3F5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 6</w:t>
            </w:r>
            <w:r w:rsidRPr="00CC75F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/</w:t>
            </w:r>
          </w:p>
        </w:tc>
      </w:tr>
      <w:tr w:rsidR="007D3F57" w:rsidRPr="00616A0E" w:rsidTr="001D6629">
        <w:trPr>
          <w:jc w:val="center"/>
        </w:trPr>
        <w:tc>
          <w:tcPr>
            <w:tcW w:w="5101" w:type="dxa"/>
          </w:tcPr>
          <w:p w:rsidR="007D3F57" w:rsidRPr="00616A0E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7D3F57" w:rsidRPr="00616A0E" w:rsidRDefault="007D3F57" w:rsidP="007D3F57">
            <w:pPr>
              <w:pStyle w:val="a6"/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7D3F57" w:rsidRPr="00CC75F0" w:rsidRDefault="007D3F57" w:rsidP="007D3F57">
            <w:pPr>
              <w:ind w:firstLine="284"/>
              <w:jc w:val="both"/>
              <w:rPr>
                <w:b/>
              </w:rPr>
            </w:pPr>
            <w:r w:rsidRPr="00CC75F0">
              <w:rPr>
                <w:b/>
              </w:rPr>
              <w:t>Стаття 6-1. Установити, що у 2020 році державні гарантії в обсязі до 5.000.000 тис. гривень, як виняток з положень статті 17 Бюджетного кодексу України, можуть надаватися за рішенням Кабінету Міністрів України, погодженим з Комітетом Верховної Ради України з питань бюджету, для забезпечення часткового виконання боргових зобов’язань за портфелем кредитів банків-кредиторів, що на</w:t>
            </w:r>
            <w:bookmarkStart w:id="1" w:name="_GoBack"/>
            <w:bookmarkEnd w:id="1"/>
            <w:r w:rsidRPr="00CC75F0">
              <w:rPr>
                <w:b/>
              </w:rPr>
              <w:t xml:space="preserve">даються суб’єктам господарювання </w:t>
            </w:r>
            <w:proofErr w:type="spellStart"/>
            <w:r w:rsidRPr="00CC75F0">
              <w:rPr>
                <w:b/>
              </w:rPr>
              <w:t>мікропідприємництва</w:t>
            </w:r>
            <w:proofErr w:type="spellEnd"/>
            <w:r w:rsidRPr="00CC75F0">
              <w:rPr>
                <w:b/>
              </w:rPr>
              <w:t>, малого та/або середнього підприємництва – резидентам України, у розмірі, що не перевищує 80 відсотків загальної суми таких боргових зобов’язань за портфелем кредитів та 80</w:t>
            </w:r>
            <w:r w:rsidR="006A2356">
              <w:rPr>
                <w:b/>
                <w:lang w:val="ru-RU"/>
              </w:rPr>
              <w:t> </w:t>
            </w:r>
            <w:r w:rsidRPr="00CC75F0">
              <w:rPr>
                <w:b/>
              </w:rPr>
              <w:t>відсотків за кожним окремим кредитом (далі – державні гарантії на портфельній основі).</w:t>
            </w:r>
          </w:p>
          <w:p w:rsidR="007D3F57" w:rsidRPr="00CC75F0" w:rsidRDefault="007D3F57" w:rsidP="007D3F57">
            <w:pPr>
              <w:ind w:firstLine="284"/>
              <w:jc w:val="both"/>
              <w:rPr>
                <w:b/>
              </w:rPr>
            </w:pPr>
            <w:r w:rsidRPr="00CC75F0">
              <w:rPr>
                <w:b/>
              </w:rPr>
              <w:lastRenderedPageBreak/>
              <w:t xml:space="preserve">Порядок відбору банків-кредиторів та умови надання державних гарантій на портфельній основі, а також розмір та вид забезпечення, що надається </w:t>
            </w:r>
            <w:r w:rsidR="00EB3295" w:rsidRPr="00EB3295">
              <w:rPr>
                <w:b/>
              </w:rPr>
              <w:t>такими суб’єктами господарювання</w:t>
            </w:r>
            <w:r w:rsidRPr="00CC75F0">
              <w:rPr>
                <w:b/>
              </w:rPr>
              <w:t>, встановлюється Кабінетом Міністрів України.</w:t>
            </w:r>
          </w:p>
          <w:p w:rsidR="007D3F57" w:rsidRPr="00CC75F0" w:rsidRDefault="007D3F57" w:rsidP="007D3F57">
            <w:pPr>
              <w:ind w:firstLine="284"/>
              <w:jc w:val="both"/>
              <w:rPr>
                <w:b/>
              </w:rPr>
            </w:pPr>
            <w:r w:rsidRPr="00CC75F0">
              <w:rPr>
                <w:b/>
              </w:rPr>
              <w:t>Правочин щодо надання державної гарантії на портфельній основі оформлюється шляхом укладання договору між Міністерством фінансів України та банком-кредитором і має визначати: обсяг гарантійних зобов’язань та порядок їх виконання; права, обов’язки та відповідальність гаранта і кредитора; умови настання гарантійного випадку; строк здійснення виплат у разі настання гарантійного випадку; розмір та порядок сплати до державного бюджету плати за надання такої гарантії; порядок погашення заборгованості перед державою за виконання гарантійних зобов’язань.</w:t>
            </w:r>
          </w:p>
          <w:p w:rsidR="007D3F57" w:rsidRPr="00CC75F0" w:rsidRDefault="007D3F57" w:rsidP="007D3F57">
            <w:pPr>
              <w:ind w:firstLine="284"/>
              <w:jc w:val="both"/>
              <w:rPr>
                <w:b/>
              </w:rPr>
            </w:pPr>
            <w:r w:rsidRPr="00CC75F0">
              <w:rPr>
                <w:b/>
              </w:rPr>
              <w:t xml:space="preserve">Прострочена заборгованість суб’єктів господарювання перед державою та перед банком-кредитором за кредитами, залученими під державну гарантію на портфельній основі, стягується з таких суб’єктів господарювання банком-кредитором у порядку, встановленому законодавством та відповідним правочином щодо надання державної гарантії на портфельній основі, з подальшим </w:t>
            </w:r>
            <w:r w:rsidRPr="00CC75F0">
              <w:rPr>
                <w:b/>
              </w:rPr>
              <w:lastRenderedPageBreak/>
              <w:t>перерахуванням пропорційної частки в рахунок погашення заборгованості перед державним бюджетом</w:t>
            </w:r>
            <w:r>
              <w:rPr>
                <w:b/>
              </w:rPr>
              <w:t>.</w:t>
            </w:r>
          </w:p>
        </w:tc>
      </w:tr>
      <w:tr w:rsidR="007D3F57" w:rsidRPr="00616A0E" w:rsidTr="001D6629">
        <w:trPr>
          <w:jc w:val="center"/>
        </w:trPr>
        <w:tc>
          <w:tcPr>
            <w:tcW w:w="5101" w:type="dxa"/>
          </w:tcPr>
          <w:p w:rsidR="007D3F57" w:rsidRPr="00616A0E" w:rsidRDefault="007D3F57" w:rsidP="007D3F57">
            <w:pPr>
              <w:ind w:firstLine="284"/>
              <w:jc w:val="both"/>
              <w:rPr>
                <w:b/>
              </w:rPr>
            </w:pPr>
          </w:p>
        </w:tc>
        <w:tc>
          <w:tcPr>
            <w:tcW w:w="5101" w:type="dxa"/>
          </w:tcPr>
          <w:p w:rsidR="007D3F57" w:rsidRPr="00616A0E" w:rsidRDefault="007D3F57" w:rsidP="007D3F57">
            <w:pPr>
              <w:ind w:firstLine="284"/>
              <w:jc w:val="both"/>
              <w:rPr>
                <w:b/>
              </w:rPr>
            </w:pPr>
          </w:p>
        </w:tc>
        <w:tc>
          <w:tcPr>
            <w:tcW w:w="5102" w:type="dxa"/>
          </w:tcPr>
          <w:p w:rsidR="007D3F57" w:rsidRPr="007D3F57" w:rsidRDefault="007D3F57" w:rsidP="007D3F57">
            <w:pPr>
              <w:ind w:firstLine="284"/>
              <w:jc w:val="both"/>
              <w:rPr>
                <w:b/>
              </w:rPr>
            </w:pPr>
            <w:r w:rsidRPr="007D3F57">
              <w:rPr>
                <w:b/>
              </w:rPr>
              <w:t>Стаття 16-1. Надати право Міністерству фінансів України здійснювати за рішенням Кабінету Міністрів України випуски облігацій внутрішньої державної позики понад обсяги, встановлені додатком № 2 до цього Закону, з подальшим придбанням у державну власність в обмін на такі облігації акцій додаткової емісії акціонерного товариства, 100 відсотків акцій якого належать державі в особі Міністерства фінансів України та яке створено з метою впровадження фінансово-кредитних механізмів забезпечення громадян України житлом, з відповідним коригуванням граничного обсягу державного боргу, визначеного цим Законом, а також інформуванням Комітету Верховної Ради України з питань бюджету у тижневий строк.</w:t>
            </w:r>
          </w:p>
          <w:p w:rsidR="007D3F57" w:rsidRPr="007D3F57" w:rsidRDefault="007D3F57" w:rsidP="007D3F57">
            <w:pPr>
              <w:ind w:firstLine="284"/>
              <w:jc w:val="both"/>
              <w:rPr>
                <w:b/>
              </w:rPr>
            </w:pPr>
            <w:bookmarkStart w:id="2" w:name="n93"/>
            <w:bookmarkEnd w:id="2"/>
            <w:r w:rsidRPr="007D3F57">
              <w:rPr>
                <w:b/>
              </w:rPr>
              <w:t>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 обсяги, встановлені додатком № 2 до цього Закону.</w:t>
            </w:r>
          </w:p>
        </w:tc>
      </w:tr>
    </w:tbl>
    <w:p w:rsidR="008E4A03" w:rsidRPr="00C001D6" w:rsidRDefault="008E4A03" w:rsidP="007D3F57">
      <w:pPr>
        <w:ind w:firstLine="284"/>
        <w:jc w:val="both"/>
        <w:rPr>
          <w:b/>
        </w:rPr>
      </w:pPr>
    </w:p>
    <w:sectPr w:rsidR="008E4A03" w:rsidRPr="00C001D6" w:rsidSect="00EB37DD">
      <w:footerReference w:type="default" r:id="rId8"/>
      <w:pgSz w:w="16838" w:h="11906" w:orient="landscape"/>
      <w:pgMar w:top="1418" w:right="851" w:bottom="851" w:left="851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04" w:rsidRDefault="00A60104" w:rsidP="00EB37DD">
      <w:r>
        <w:separator/>
      </w:r>
    </w:p>
  </w:endnote>
  <w:endnote w:type="continuationSeparator" w:id="0">
    <w:p w:rsidR="00A60104" w:rsidRDefault="00A60104" w:rsidP="00EB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845035"/>
      <w:docPartObj>
        <w:docPartGallery w:val="Page Numbers (Bottom of Page)"/>
        <w:docPartUnique/>
      </w:docPartObj>
    </w:sdtPr>
    <w:sdtEndPr/>
    <w:sdtContent>
      <w:p w:rsidR="004C6156" w:rsidRDefault="00360E11">
        <w:pPr>
          <w:pStyle w:val="af"/>
          <w:jc w:val="right"/>
        </w:pPr>
        <w:r>
          <w:fldChar w:fldCharType="begin"/>
        </w:r>
        <w:r w:rsidR="00A26A8D">
          <w:instrText>PAGE   \* MERGEFORMAT</w:instrText>
        </w:r>
        <w:r>
          <w:fldChar w:fldCharType="separate"/>
        </w:r>
        <w:r w:rsidR="006A23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C6156" w:rsidRDefault="004C615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04" w:rsidRDefault="00A60104" w:rsidP="00EB37DD">
      <w:r>
        <w:separator/>
      </w:r>
    </w:p>
  </w:footnote>
  <w:footnote w:type="continuationSeparator" w:id="0">
    <w:p w:rsidR="00A60104" w:rsidRDefault="00A60104" w:rsidP="00EB3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711D"/>
    <w:multiLevelType w:val="hybridMultilevel"/>
    <w:tmpl w:val="E55CB0A6"/>
    <w:lvl w:ilvl="0" w:tplc="7C1E0E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4237CD"/>
    <w:multiLevelType w:val="hybridMultilevel"/>
    <w:tmpl w:val="9E7C832E"/>
    <w:lvl w:ilvl="0" w:tplc="830A9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EB74BE"/>
    <w:multiLevelType w:val="hybridMultilevel"/>
    <w:tmpl w:val="7AFCA3CE"/>
    <w:lvl w:ilvl="0" w:tplc="597EA0A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DE5"/>
    <w:rsid w:val="000025CB"/>
    <w:rsid w:val="0001482A"/>
    <w:rsid w:val="000269E9"/>
    <w:rsid w:val="00030462"/>
    <w:rsid w:val="00061909"/>
    <w:rsid w:val="00064B13"/>
    <w:rsid w:val="00066E9D"/>
    <w:rsid w:val="000821D0"/>
    <w:rsid w:val="00094D1A"/>
    <w:rsid w:val="000A0620"/>
    <w:rsid w:val="000B26F7"/>
    <w:rsid w:val="000B45D4"/>
    <w:rsid w:val="000C5CF6"/>
    <w:rsid w:val="000C6159"/>
    <w:rsid w:val="000D4619"/>
    <w:rsid w:val="000D46C9"/>
    <w:rsid w:val="000E6B31"/>
    <w:rsid w:val="000F02E3"/>
    <w:rsid w:val="001020D7"/>
    <w:rsid w:val="0011058E"/>
    <w:rsid w:val="001109B1"/>
    <w:rsid w:val="0012276E"/>
    <w:rsid w:val="00137A26"/>
    <w:rsid w:val="001419E8"/>
    <w:rsid w:val="00142E48"/>
    <w:rsid w:val="001433EB"/>
    <w:rsid w:val="00145790"/>
    <w:rsid w:val="00150762"/>
    <w:rsid w:val="00152EA2"/>
    <w:rsid w:val="00153C10"/>
    <w:rsid w:val="001540D3"/>
    <w:rsid w:val="00162167"/>
    <w:rsid w:val="001639F0"/>
    <w:rsid w:val="001674AF"/>
    <w:rsid w:val="001715C7"/>
    <w:rsid w:val="00171775"/>
    <w:rsid w:val="00180862"/>
    <w:rsid w:val="0018534E"/>
    <w:rsid w:val="001936B1"/>
    <w:rsid w:val="00193F00"/>
    <w:rsid w:val="001B1072"/>
    <w:rsid w:val="001D07DD"/>
    <w:rsid w:val="001D2D46"/>
    <w:rsid w:val="001D6629"/>
    <w:rsid w:val="001E19A5"/>
    <w:rsid w:val="001E1BF2"/>
    <w:rsid w:val="001E3949"/>
    <w:rsid w:val="001E6026"/>
    <w:rsid w:val="001F3CB9"/>
    <w:rsid w:val="001F69BE"/>
    <w:rsid w:val="001F7A84"/>
    <w:rsid w:val="0020341E"/>
    <w:rsid w:val="00215DCA"/>
    <w:rsid w:val="002218B3"/>
    <w:rsid w:val="00234C11"/>
    <w:rsid w:val="00241FB7"/>
    <w:rsid w:val="002505FC"/>
    <w:rsid w:val="0025319E"/>
    <w:rsid w:val="002621D7"/>
    <w:rsid w:val="002679D2"/>
    <w:rsid w:val="00273CEB"/>
    <w:rsid w:val="002760B9"/>
    <w:rsid w:val="00277B9D"/>
    <w:rsid w:val="002946D8"/>
    <w:rsid w:val="00294BAD"/>
    <w:rsid w:val="002B2745"/>
    <w:rsid w:val="002B46EE"/>
    <w:rsid w:val="002C2910"/>
    <w:rsid w:val="002D2D01"/>
    <w:rsid w:val="002E3699"/>
    <w:rsid w:val="002E57BC"/>
    <w:rsid w:val="002E6757"/>
    <w:rsid w:val="002F1A9C"/>
    <w:rsid w:val="0030343D"/>
    <w:rsid w:val="00304F6D"/>
    <w:rsid w:val="00307B94"/>
    <w:rsid w:val="00330846"/>
    <w:rsid w:val="00336596"/>
    <w:rsid w:val="00341DF5"/>
    <w:rsid w:val="00341ED7"/>
    <w:rsid w:val="00343E68"/>
    <w:rsid w:val="00350F09"/>
    <w:rsid w:val="0035203A"/>
    <w:rsid w:val="003569DA"/>
    <w:rsid w:val="00360123"/>
    <w:rsid w:val="003604FA"/>
    <w:rsid w:val="00360E11"/>
    <w:rsid w:val="00372656"/>
    <w:rsid w:val="00381EEF"/>
    <w:rsid w:val="00383A1C"/>
    <w:rsid w:val="00393830"/>
    <w:rsid w:val="003978CB"/>
    <w:rsid w:val="003A0831"/>
    <w:rsid w:val="003A65CE"/>
    <w:rsid w:val="003A7203"/>
    <w:rsid w:val="003B0BCD"/>
    <w:rsid w:val="003B1913"/>
    <w:rsid w:val="003D4FE8"/>
    <w:rsid w:val="003E0A8B"/>
    <w:rsid w:val="003E139F"/>
    <w:rsid w:val="003E18C5"/>
    <w:rsid w:val="003E446B"/>
    <w:rsid w:val="003F0078"/>
    <w:rsid w:val="003F2684"/>
    <w:rsid w:val="003F407B"/>
    <w:rsid w:val="003F716E"/>
    <w:rsid w:val="004014C7"/>
    <w:rsid w:val="00411644"/>
    <w:rsid w:val="00423B11"/>
    <w:rsid w:val="004262DD"/>
    <w:rsid w:val="00430E56"/>
    <w:rsid w:val="0043793C"/>
    <w:rsid w:val="0044472A"/>
    <w:rsid w:val="00445849"/>
    <w:rsid w:val="00445CF2"/>
    <w:rsid w:val="00452063"/>
    <w:rsid w:val="00452FB6"/>
    <w:rsid w:val="00453B94"/>
    <w:rsid w:val="004574CE"/>
    <w:rsid w:val="00460E77"/>
    <w:rsid w:val="004673AF"/>
    <w:rsid w:val="00467ED6"/>
    <w:rsid w:val="00476D2E"/>
    <w:rsid w:val="00481675"/>
    <w:rsid w:val="0048293F"/>
    <w:rsid w:val="00486582"/>
    <w:rsid w:val="004945C2"/>
    <w:rsid w:val="00495040"/>
    <w:rsid w:val="00495DAE"/>
    <w:rsid w:val="004A1E1B"/>
    <w:rsid w:val="004B17B5"/>
    <w:rsid w:val="004B42D2"/>
    <w:rsid w:val="004C3D60"/>
    <w:rsid w:val="004C6156"/>
    <w:rsid w:val="004D5179"/>
    <w:rsid w:val="004E2A6C"/>
    <w:rsid w:val="004E5360"/>
    <w:rsid w:val="00500FC4"/>
    <w:rsid w:val="005149F8"/>
    <w:rsid w:val="00517153"/>
    <w:rsid w:val="00517289"/>
    <w:rsid w:val="005201B6"/>
    <w:rsid w:val="00521398"/>
    <w:rsid w:val="005378B2"/>
    <w:rsid w:val="00554880"/>
    <w:rsid w:val="00555D71"/>
    <w:rsid w:val="00561C6F"/>
    <w:rsid w:val="00563320"/>
    <w:rsid w:val="00563A7A"/>
    <w:rsid w:val="00563B77"/>
    <w:rsid w:val="005658ED"/>
    <w:rsid w:val="005726C2"/>
    <w:rsid w:val="0059362F"/>
    <w:rsid w:val="005B22E8"/>
    <w:rsid w:val="005C2594"/>
    <w:rsid w:val="005C3B9C"/>
    <w:rsid w:val="005D0B6B"/>
    <w:rsid w:val="005D53CA"/>
    <w:rsid w:val="005E3C7C"/>
    <w:rsid w:val="005F611A"/>
    <w:rsid w:val="00602782"/>
    <w:rsid w:val="00602BD1"/>
    <w:rsid w:val="00604C4E"/>
    <w:rsid w:val="00612F82"/>
    <w:rsid w:val="00615EAF"/>
    <w:rsid w:val="00616A0E"/>
    <w:rsid w:val="00616D3A"/>
    <w:rsid w:val="006267BB"/>
    <w:rsid w:val="00634BEF"/>
    <w:rsid w:val="00643D51"/>
    <w:rsid w:val="0064487A"/>
    <w:rsid w:val="0065085F"/>
    <w:rsid w:val="00652208"/>
    <w:rsid w:val="00662112"/>
    <w:rsid w:val="00664E5A"/>
    <w:rsid w:val="00675D5A"/>
    <w:rsid w:val="0068199A"/>
    <w:rsid w:val="00690B64"/>
    <w:rsid w:val="00695CE5"/>
    <w:rsid w:val="006A1621"/>
    <w:rsid w:val="006A2356"/>
    <w:rsid w:val="006A7FDA"/>
    <w:rsid w:val="006B7F69"/>
    <w:rsid w:val="006C30CF"/>
    <w:rsid w:val="006C35F3"/>
    <w:rsid w:val="006C5DB4"/>
    <w:rsid w:val="006D22F7"/>
    <w:rsid w:val="006D43C3"/>
    <w:rsid w:val="006F6E03"/>
    <w:rsid w:val="00705F86"/>
    <w:rsid w:val="00723DE4"/>
    <w:rsid w:val="007241B0"/>
    <w:rsid w:val="00737058"/>
    <w:rsid w:val="0073726B"/>
    <w:rsid w:val="0074001B"/>
    <w:rsid w:val="00754CF3"/>
    <w:rsid w:val="00762BD5"/>
    <w:rsid w:val="00766C65"/>
    <w:rsid w:val="007708CA"/>
    <w:rsid w:val="007804D1"/>
    <w:rsid w:val="0078143F"/>
    <w:rsid w:val="00785CCD"/>
    <w:rsid w:val="00790FE5"/>
    <w:rsid w:val="00797E02"/>
    <w:rsid w:val="007A6471"/>
    <w:rsid w:val="007A6E20"/>
    <w:rsid w:val="007B3B8A"/>
    <w:rsid w:val="007B5895"/>
    <w:rsid w:val="007D3F57"/>
    <w:rsid w:val="007D5993"/>
    <w:rsid w:val="007E0F83"/>
    <w:rsid w:val="007E1442"/>
    <w:rsid w:val="007F2C6A"/>
    <w:rsid w:val="007F5848"/>
    <w:rsid w:val="007F5C7E"/>
    <w:rsid w:val="00805A3F"/>
    <w:rsid w:val="00806C2E"/>
    <w:rsid w:val="00807999"/>
    <w:rsid w:val="00813AAE"/>
    <w:rsid w:val="00822B58"/>
    <w:rsid w:val="008259F8"/>
    <w:rsid w:val="00833C1C"/>
    <w:rsid w:val="00845968"/>
    <w:rsid w:val="008531BA"/>
    <w:rsid w:val="00856FA0"/>
    <w:rsid w:val="00864057"/>
    <w:rsid w:val="008648C8"/>
    <w:rsid w:val="00866170"/>
    <w:rsid w:val="00866986"/>
    <w:rsid w:val="00867960"/>
    <w:rsid w:val="00870894"/>
    <w:rsid w:val="00872293"/>
    <w:rsid w:val="0088164D"/>
    <w:rsid w:val="00897058"/>
    <w:rsid w:val="008A15BC"/>
    <w:rsid w:val="008B7C63"/>
    <w:rsid w:val="008C2C91"/>
    <w:rsid w:val="008D0FA3"/>
    <w:rsid w:val="008D1956"/>
    <w:rsid w:val="008D5500"/>
    <w:rsid w:val="008D6235"/>
    <w:rsid w:val="008E0F86"/>
    <w:rsid w:val="008E4A03"/>
    <w:rsid w:val="008E5234"/>
    <w:rsid w:val="008E741B"/>
    <w:rsid w:val="008F08C7"/>
    <w:rsid w:val="008F2F8E"/>
    <w:rsid w:val="008F61F7"/>
    <w:rsid w:val="00900333"/>
    <w:rsid w:val="00900A16"/>
    <w:rsid w:val="00901F6F"/>
    <w:rsid w:val="00906244"/>
    <w:rsid w:val="00911950"/>
    <w:rsid w:val="009339D8"/>
    <w:rsid w:val="0094390D"/>
    <w:rsid w:val="0095654C"/>
    <w:rsid w:val="00961F5B"/>
    <w:rsid w:val="00974A14"/>
    <w:rsid w:val="00985166"/>
    <w:rsid w:val="00987213"/>
    <w:rsid w:val="009A04B7"/>
    <w:rsid w:val="009A6C5E"/>
    <w:rsid w:val="009A6CAD"/>
    <w:rsid w:val="009A70A4"/>
    <w:rsid w:val="009A7151"/>
    <w:rsid w:val="009D63E3"/>
    <w:rsid w:val="009D72BB"/>
    <w:rsid w:val="009E7526"/>
    <w:rsid w:val="009F22B4"/>
    <w:rsid w:val="00A000DE"/>
    <w:rsid w:val="00A058F5"/>
    <w:rsid w:val="00A05FBA"/>
    <w:rsid w:val="00A07E2D"/>
    <w:rsid w:val="00A26A8D"/>
    <w:rsid w:val="00A26EDD"/>
    <w:rsid w:val="00A40221"/>
    <w:rsid w:val="00A40BE1"/>
    <w:rsid w:val="00A40E23"/>
    <w:rsid w:val="00A41854"/>
    <w:rsid w:val="00A46316"/>
    <w:rsid w:val="00A475A7"/>
    <w:rsid w:val="00A54507"/>
    <w:rsid w:val="00A56054"/>
    <w:rsid w:val="00A60104"/>
    <w:rsid w:val="00A62FF6"/>
    <w:rsid w:val="00A7306B"/>
    <w:rsid w:val="00A77AB8"/>
    <w:rsid w:val="00A82023"/>
    <w:rsid w:val="00A84DE5"/>
    <w:rsid w:val="00A85A73"/>
    <w:rsid w:val="00A94928"/>
    <w:rsid w:val="00AA7B5B"/>
    <w:rsid w:val="00AB1DD3"/>
    <w:rsid w:val="00AC0A9F"/>
    <w:rsid w:val="00AC31B7"/>
    <w:rsid w:val="00AC5E4F"/>
    <w:rsid w:val="00AC62B8"/>
    <w:rsid w:val="00AD70CF"/>
    <w:rsid w:val="00AE2D75"/>
    <w:rsid w:val="00AE53C8"/>
    <w:rsid w:val="00AF1415"/>
    <w:rsid w:val="00AF358C"/>
    <w:rsid w:val="00AF4C4E"/>
    <w:rsid w:val="00AF6DDD"/>
    <w:rsid w:val="00B03644"/>
    <w:rsid w:val="00B11593"/>
    <w:rsid w:val="00B22918"/>
    <w:rsid w:val="00B24E8A"/>
    <w:rsid w:val="00B25309"/>
    <w:rsid w:val="00B65205"/>
    <w:rsid w:val="00B71D88"/>
    <w:rsid w:val="00B7490E"/>
    <w:rsid w:val="00B841E9"/>
    <w:rsid w:val="00B90D7F"/>
    <w:rsid w:val="00BA00DC"/>
    <w:rsid w:val="00BB0C0C"/>
    <w:rsid w:val="00BB2890"/>
    <w:rsid w:val="00BD225E"/>
    <w:rsid w:val="00BD7639"/>
    <w:rsid w:val="00BF0F1A"/>
    <w:rsid w:val="00BF1A35"/>
    <w:rsid w:val="00BF28A1"/>
    <w:rsid w:val="00C001D6"/>
    <w:rsid w:val="00C13151"/>
    <w:rsid w:val="00C253DE"/>
    <w:rsid w:val="00C30536"/>
    <w:rsid w:val="00C332DD"/>
    <w:rsid w:val="00C34625"/>
    <w:rsid w:val="00C41091"/>
    <w:rsid w:val="00C41D08"/>
    <w:rsid w:val="00C54A9E"/>
    <w:rsid w:val="00C563F7"/>
    <w:rsid w:val="00C56D34"/>
    <w:rsid w:val="00C67041"/>
    <w:rsid w:val="00C717C9"/>
    <w:rsid w:val="00C7696E"/>
    <w:rsid w:val="00C84B41"/>
    <w:rsid w:val="00C85376"/>
    <w:rsid w:val="00C93738"/>
    <w:rsid w:val="00CA1E58"/>
    <w:rsid w:val="00CA46A6"/>
    <w:rsid w:val="00CB1B27"/>
    <w:rsid w:val="00CC223E"/>
    <w:rsid w:val="00CC32A0"/>
    <w:rsid w:val="00CC75F0"/>
    <w:rsid w:val="00CD4643"/>
    <w:rsid w:val="00CE6B93"/>
    <w:rsid w:val="00CF40AD"/>
    <w:rsid w:val="00CF4394"/>
    <w:rsid w:val="00D063E1"/>
    <w:rsid w:val="00D10F01"/>
    <w:rsid w:val="00D11735"/>
    <w:rsid w:val="00D35B53"/>
    <w:rsid w:val="00D42D14"/>
    <w:rsid w:val="00D4439A"/>
    <w:rsid w:val="00D5178E"/>
    <w:rsid w:val="00D527CE"/>
    <w:rsid w:val="00D5469D"/>
    <w:rsid w:val="00D551A0"/>
    <w:rsid w:val="00D64C5F"/>
    <w:rsid w:val="00D732A6"/>
    <w:rsid w:val="00D801B7"/>
    <w:rsid w:val="00D821D6"/>
    <w:rsid w:val="00D978A8"/>
    <w:rsid w:val="00DB546D"/>
    <w:rsid w:val="00DB75BD"/>
    <w:rsid w:val="00DC4F73"/>
    <w:rsid w:val="00DC7B42"/>
    <w:rsid w:val="00DE7B29"/>
    <w:rsid w:val="00DF0303"/>
    <w:rsid w:val="00DF061F"/>
    <w:rsid w:val="00DF1E49"/>
    <w:rsid w:val="00DF3A89"/>
    <w:rsid w:val="00E02FA5"/>
    <w:rsid w:val="00E03420"/>
    <w:rsid w:val="00E11D98"/>
    <w:rsid w:val="00E170D0"/>
    <w:rsid w:val="00E208AC"/>
    <w:rsid w:val="00E21804"/>
    <w:rsid w:val="00E23C9B"/>
    <w:rsid w:val="00E2460D"/>
    <w:rsid w:val="00E3257B"/>
    <w:rsid w:val="00E37A80"/>
    <w:rsid w:val="00E82A62"/>
    <w:rsid w:val="00E861AA"/>
    <w:rsid w:val="00EA2DF8"/>
    <w:rsid w:val="00EA491B"/>
    <w:rsid w:val="00EA5C24"/>
    <w:rsid w:val="00EB3295"/>
    <w:rsid w:val="00EB37DD"/>
    <w:rsid w:val="00EB44E4"/>
    <w:rsid w:val="00EC7768"/>
    <w:rsid w:val="00ED1792"/>
    <w:rsid w:val="00ED6C4F"/>
    <w:rsid w:val="00EF0570"/>
    <w:rsid w:val="00EF5BF2"/>
    <w:rsid w:val="00F01554"/>
    <w:rsid w:val="00F01967"/>
    <w:rsid w:val="00F03B23"/>
    <w:rsid w:val="00F0710C"/>
    <w:rsid w:val="00F0754C"/>
    <w:rsid w:val="00F10F72"/>
    <w:rsid w:val="00F14B69"/>
    <w:rsid w:val="00F14BEA"/>
    <w:rsid w:val="00F171EB"/>
    <w:rsid w:val="00F17F27"/>
    <w:rsid w:val="00F213AC"/>
    <w:rsid w:val="00F314C9"/>
    <w:rsid w:val="00F46571"/>
    <w:rsid w:val="00F56E09"/>
    <w:rsid w:val="00F750CE"/>
    <w:rsid w:val="00F77200"/>
    <w:rsid w:val="00F77A47"/>
    <w:rsid w:val="00F82156"/>
    <w:rsid w:val="00F85E80"/>
    <w:rsid w:val="00F92A31"/>
    <w:rsid w:val="00FB1FB6"/>
    <w:rsid w:val="00FD1ED7"/>
    <w:rsid w:val="00FD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F6ECD"/>
  <w15:docId w15:val="{8FCEE9F0-A1F3-4092-9706-C0BF63C4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4DE5"/>
    <w:pPr>
      <w:autoSpaceDE w:val="0"/>
      <w:autoSpaceDN w:val="0"/>
      <w:spacing w:after="600"/>
      <w:jc w:val="center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rsid w:val="00A84DE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A84DE5"/>
    <w:rPr>
      <w:i/>
      <w:iCs/>
    </w:rPr>
  </w:style>
  <w:style w:type="character" w:customStyle="1" w:styleId="rvts9">
    <w:name w:val="rvts9"/>
    <w:rsid w:val="00A84DE5"/>
  </w:style>
  <w:style w:type="character" w:customStyle="1" w:styleId="apple-converted-space">
    <w:name w:val="apple-converted-space"/>
    <w:rsid w:val="00A84DE5"/>
  </w:style>
  <w:style w:type="paragraph" w:styleId="a6">
    <w:name w:val="List Paragraph"/>
    <w:basedOn w:val="a"/>
    <w:uiPriority w:val="34"/>
    <w:qFormat/>
    <w:rsid w:val="009A6CAD"/>
    <w:pPr>
      <w:ind w:left="720"/>
      <w:contextualSpacing/>
    </w:pPr>
    <w:rPr>
      <w:rFonts w:ascii="Antiqua" w:hAnsi="Antiqua"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C30C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C30C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9">
    <w:name w:val="Нормальний текст"/>
    <w:basedOn w:val="a"/>
    <w:rsid w:val="00AE2D75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customStyle="1" w:styleId="rvps2">
    <w:name w:val="rvps2"/>
    <w:basedOn w:val="a"/>
    <w:rsid w:val="00E861AA"/>
    <w:pPr>
      <w:spacing w:before="100" w:beforeAutospacing="1" w:after="100" w:afterAutospacing="1"/>
    </w:pPr>
    <w:rPr>
      <w:lang w:eastAsia="uk-UA"/>
    </w:rPr>
  </w:style>
  <w:style w:type="character" w:styleId="aa">
    <w:name w:val="Hyperlink"/>
    <w:basedOn w:val="a0"/>
    <w:uiPriority w:val="99"/>
    <w:semiHidden/>
    <w:unhideWhenUsed/>
    <w:rsid w:val="00E861AA"/>
    <w:rPr>
      <w:color w:val="0000FF"/>
      <w:u w:val="single"/>
    </w:rPr>
  </w:style>
  <w:style w:type="character" w:customStyle="1" w:styleId="rvts37">
    <w:name w:val="rvts37"/>
    <w:basedOn w:val="a0"/>
    <w:rsid w:val="00E861AA"/>
  </w:style>
  <w:style w:type="paragraph" w:styleId="ab">
    <w:name w:val="Plain Text"/>
    <w:basedOn w:val="a"/>
    <w:link w:val="ac"/>
    <w:uiPriority w:val="99"/>
    <w:unhideWhenUsed/>
    <w:rsid w:val="00C41D08"/>
    <w:rPr>
      <w:rFonts w:ascii="Calibri" w:eastAsia="Calibri" w:hAnsi="Calibri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41D08"/>
    <w:rPr>
      <w:rFonts w:ascii="Calibri" w:eastAsia="Calibri" w:hAnsi="Calibri" w:cs="Times New Roman"/>
      <w:szCs w:val="21"/>
    </w:rPr>
  </w:style>
  <w:style w:type="paragraph" w:styleId="ad">
    <w:name w:val="header"/>
    <w:basedOn w:val="a"/>
    <w:link w:val="ae"/>
    <w:unhideWhenUsed/>
    <w:rsid w:val="00EB37DD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EB37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EB37DD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EB37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Абзац списку1"/>
    <w:basedOn w:val="a"/>
    <w:rsid w:val="00CC75F0"/>
    <w:pPr>
      <w:ind w:left="720"/>
    </w:pPr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B4290-82B1-4182-8453-F1164469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3225</Words>
  <Characters>1839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Кузьма Юлія Володимирівна</dc:creator>
  <cp:lastModifiedBy>Світлана Леонідівна Фещук</cp:lastModifiedBy>
  <cp:revision>6</cp:revision>
  <cp:lastPrinted>2020-04-11T07:18:00Z</cp:lastPrinted>
  <dcterms:created xsi:type="dcterms:W3CDTF">2020-08-20T09:52:00Z</dcterms:created>
  <dcterms:modified xsi:type="dcterms:W3CDTF">2020-08-20T17:15:00Z</dcterms:modified>
</cp:coreProperties>
</file>