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0" w:type="auto"/>
        <w:tblLook w:val="00A0"/>
      </w:tblPr>
      <w:tblGrid>
        <w:gridCol w:w="4350"/>
        <w:gridCol w:w="5220"/>
      </w:tblGrid>
      <w:tr>
        <w:tblPrEx>
          <w:tblW w:w="0" w:type="auto"/>
          <w:tblLook w:val="00A0"/>
        </w:tblPrEx>
        <w:tc>
          <w:tcPr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B726E" w:rsidRPr="00BC3024" w:rsidP="005B726E">
            <w:pPr>
              <w:bidi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3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21279F" w:rsidRPr="00BC3024" w:rsidP="0021279F">
            <w:pPr>
              <w:keepNext/>
              <w:keepLines/>
              <w:bidi w:val="0"/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024" w:rsidR="00F26F4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ПРОЄКТ</w:t>
            </w:r>
          </w:p>
          <w:p w:rsidR="0021279F" w:rsidRPr="00BC3024" w:rsidP="0021279F">
            <w:pPr>
              <w:keepNext/>
              <w:keepLines/>
              <w:bidi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3024">
              <w:rPr>
                <w:rFonts w:ascii="Times New Roman" w:hAnsi="Times New Roman"/>
                <w:sz w:val="28"/>
                <w:szCs w:val="28"/>
                <w:lang w:val="uk-UA"/>
              </w:rPr>
              <w:t>вносять народні депутати України:</w:t>
            </w:r>
          </w:p>
          <w:p w:rsidR="0021279F" w:rsidRPr="00BC3024" w:rsidP="00212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482"/>
                <w:tab w:val="left" w:pos="11624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ind w:firstLine="567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302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Р.</w:t>
            </w:r>
            <w:r w:rsidRPr="00BC3024" w:rsidR="007D77B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BC302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М. Мулик</w:t>
            </w:r>
          </w:p>
          <w:p w:rsidR="0021279F" w:rsidRPr="00AD53DB" w:rsidP="00212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482"/>
                <w:tab w:val="left" w:pos="11624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ind w:firstLine="567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="00AD53D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В.О. Струневич</w:t>
            </w:r>
          </w:p>
          <w:p w:rsidR="0021279F" w:rsidRPr="00AD53DB" w:rsidP="00212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482"/>
                <w:tab w:val="left" w:pos="11624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ind w:firstLine="567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B726E" w:rsidRPr="00BC3024" w:rsidP="005B726E">
            <w:pPr>
              <w:bidi w:val="0"/>
              <w:spacing w:after="0" w:line="360" w:lineRule="auto"/>
              <w:ind w:left="1451" w:right="-6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C3024">
              <w:rPr>
                <w:rFonts w:ascii="Times New Roman" w:hAnsi="Times New Roman"/>
                <w:color w:val="000000"/>
                <w:sz w:val="24"/>
                <w:szCs w:val="20"/>
                <w:lang w:val="uk-UA" w:eastAsia="uk-UA"/>
              </w:rPr>
              <w:t xml:space="preserve"> </w:t>
            </w:r>
          </w:p>
        </w:tc>
      </w:tr>
    </w:tbl>
    <w:p w:rsidR="005B726E" w:rsidRPr="00BC3024" w:rsidP="005B726E">
      <w:pPr>
        <w:bidi w:val="0"/>
        <w:spacing w:before="240" w:after="24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5B726E" w:rsidRPr="00BC3024" w:rsidP="005B726E">
      <w:pPr>
        <w:bidi w:val="0"/>
        <w:spacing w:before="240" w:after="24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5B726E" w:rsidRPr="00BC3024" w:rsidP="005B726E">
      <w:pPr>
        <w:bidi w:val="0"/>
        <w:spacing w:before="240" w:after="24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C06B2" w:rsidRPr="00BC3024" w:rsidP="005B726E">
      <w:pPr>
        <w:bidi w:val="0"/>
        <w:spacing w:before="240" w:after="24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C06B2" w:rsidRPr="00BC3024" w:rsidP="005B726E">
      <w:pPr>
        <w:bidi w:val="0"/>
        <w:spacing w:before="240" w:after="24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5B726E" w:rsidRPr="00BC3024" w:rsidP="005B726E">
      <w:pPr>
        <w:bidi w:val="0"/>
        <w:spacing w:before="240" w:after="24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BC3024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ЗАКОН УКРАЇНИ</w:t>
      </w:r>
    </w:p>
    <w:p w:rsidR="005B726E" w:rsidRPr="00BC3024" w:rsidP="005B726E">
      <w:pPr>
        <w:bidi w:val="0"/>
        <w:spacing w:before="240" w:after="24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5B726E" w:rsidRPr="00BC3024" w:rsidP="005B726E">
      <w:pPr>
        <w:keepNext/>
        <w:bidi w:val="0"/>
        <w:spacing w:before="240" w:after="240" w:line="240" w:lineRule="auto"/>
        <w:ind w:firstLine="567"/>
        <w:contextualSpacing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BC3024" w:rsidR="0021279F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"Про внесення змін до </w:t>
      </w:r>
      <w:r w:rsidRPr="00BC3024" w:rsidR="001361F8">
        <w:rPr>
          <w:rFonts w:ascii="Times New Roman" w:hAnsi="Times New Roman"/>
          <w:b/>
          <w:sz w:val="28"/>
          <w:szCs w:val="28"/>
          <w:lang w:val="uk-UA"/>
        </w:rPr>
        <w:t xml:space="preserve">Бюджетного </w:t>
      </w:r>
      <w:r w:rsidRPr="00BC3024" w:rsidR="0021279F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кодексу України щодо державного регулювання діяльності у сфері азартних ігор"</w:t>
      </w:r>
    </w:p>
    <w:p w:rsidR="0021279F" w:rsidRPr="00BC3024" w:rsidP="005B726E">
      <w:pPr>
        <w:keepNext/>
        <w:bidi w:val="0"/>
        <w:spacing w:before="240" w:after="240" w:line="240" w:lineRule="auto"/>
        <w:ind w:firstLine="567"/>
        <w:contextualSpacing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 w:eastAsia="ar-SA"/>
        </w:rPr>
      </w:pPr>
    </w:p>
    <w:p w:rsidR="005B726E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  <w:t>Верховна Рада України постановляє:</w:t>
      </w:r>
    </w:p>
    <w:p w:rsidR="001361F8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n4"/>
      <w:bookmarkEnd w:id="0"/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I. Внести до </w:t>
      </w:r>
      <w:hyperlink r:id="rId4" w:tgtFrame="_blank" w:history="1">
        <w:r w:rsidRPr="00BC3024">
          <w:rPr>
            <w:rFonts w:ascii="Times New Roman" w:hAnsi="Times New Roman"/>
            <w:color w:val="000000"/>
            <w:sz w:val="28"/>
            <w:szCs w:val="28"/>
            <w:lang w:val="uk-UA" w:eastAsia="uk-UA"/>
          </w:rPr>
          <w:t>Бюджетного кодексу України</w:t>
        </w:r>
      </w:hyperlink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 (Відомості Верховної Ради України, 2010 р., № 50-51, ст. 572) такі зміни:</w:t>
      </w:r>
    </w:p>
    <w:p w:rsidR="001361F8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1. </w:t>
      </w:r>
      <w:r w:rsid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Після статті 24-4 д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оповнити </w:t>
      </w:r>
      <w:r w:rsidRPr="00BC3024" w:rsid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новою 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статтею</w:t>
      </w:r>
      <w:r w:rsidRPr="00BC3024" w:rsidR="001D2DC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24-5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1361F8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 w:rsidR="001D2DC6">
        <w:rPr>
          <w:rFonts w:ascii="Times New Roman" w:hAnsi="Times New Roman"/>
          <w:color w:val="000000"/>
          <w:sz w:val="28"/>
          <w:szCs w:val="28"/>
          <w:lang w:val="uk-UA" w:eastAsia="uk-UA"/>
        </w:rPr>
        <w:t>"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Стаття 24-5. Державний фонд </w:t>
      </w:r>
      <w:r w:rsidRPr="00BC3024" w:rsidR="00577040">
        <w:rPr>
          <w:rFonts w:ascii="Times New Roman" w:hAnsi="Times New Roman"/>
          <w:color w:val="000000"/>
          <w:sz w:val="28"/>
          <w:szCs w:val="28"/>
          <w:lang w:val="uk-UA" w:eastAsia="uk-UA"/>
        </w:rPr>
        <w:t>у сфері азартних ігор</w:t>
      </w:r>
    </w:p>
    <w:p w:rsidR="00257D34" w:rsidRPr="00BC3024" w:rsidP="00257D34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1. Державний фонд у сфері азартних ігор створюється у складі спеціального фонду державного бюджету.</w:t>
      </w:r>
    </w:p>
    <w:p w:rsidR="00257D34" w:rsidRPr="00BC3024" w:rsidP="00257D34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" w:name="n2870"/>
      <w:bookmarkEnd w:id="1"/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2. Джерелами формування державного фонду у сфері азартних ігор є:</w:t>
      </w:r>
    </w:p>
    <w:p w:rsidR="00257D34" w:rsidRPr="00BC3024" w:rsidP="00257D34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1) надходження, визначені пунктами 13</w:t>
      </w:r>
      <w:r w:rsidRPr="00E06FF1">
        <w:rPr>
          <w:rFonts w:ascii="Times New Roman" w:hAnsi="Times New Roman"/>
          <w:color w:val="000000"/>
          <w:sz w:val="28"/>
          <w:szCs w:val="28"/>
          <w:lang w:val="uk-UA" w:eastAsia="uk-UA"/>
        </w:rPr>
        <w:t>-9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 і 13-10 частини третьої статті 29 цього Кодексу;</w:t>
      </w:r>
    </w:p>
    <w:p w:rsidR="00257D34" w:rsidRPr="00BC3024" w:rsidP="00257D34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2" w:name="n3034"/>
      <w:bookmarkEnd w:id="2"/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2) інші надходження, передбачені законодавством.</w:t>
      </w:r>
    </w:p>
    <w:p w:rsidR="00257D34" w:rsidRPr="00BC3024" w:rsidP="00257D34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3.</w:t>
        <w:tab/>
        <w:t>Кошти державного фонду у сфері азартних ігор спрямовуються на:</w:t>
      </w:r>
    </w:p>
    <w:p w:rsidR="00257D34" w:rsidRPr="00BC3024" w:rsidP="00257D34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1)</w:t>
        <w:tab/>
        <w:t>фінансове забезпечення розвитку системи надання медичної допомоги, у тому числі й екстреної; поліпшення процесу забезпечення надання медичних послуг; забезпечення справедливого фінансування та підвищення зарплат медичного та адміністративного персоналу закладів охорони здоров’я; створення лікарень інтенсивного лікування, лікарень планового лікування, центрів реабілітації, хоспісів, спеціалізованих центрів з визначенням профілів надання медичної допомоги (медичних послуг) для кожного закладу охорони здоров’я; фінансування програм з охорони здоров’я; фінансування навчання, перепідготовки та підвищення кваліфікації медичного персоналу;</w:t>
      </w:r>
    </w:p>
    <w:p w:rsidR="00257D34" w:rsidRPr="00BC3024" w:rsidP="00257D34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2)</w:t>
        <w:tab/>
        <w:t>фінансове забезпечення підтримки масового, дитячого, дитячо-юнацького, резервного спорту, спорту вищих досягнень, спорту інвалідів та ветеранів; фінансування заходів, спрямованих на популяризацію здорового способу життя, розвиток олімпійських, неолімпійських та видів спорту інвалідів; розбудову спортивної інфраструктури, у тому числі будівництва та модернізації спортивних споруд; забезпечення функціонування та удосконалення мережі закладів фізичної культури і спорту; поліпшення організаційного, нормативно-правового, кадрового, матеріально-технічного, фінансового, науково-методичного, медичного, інформаційного забезпечення сфери фізичної культури і спорту;</w:t>
      </w:r>
    </w:p>
    <w:p w:rsidR="00257D34" w:rsidRPr="00BC3024" w:rsidP="00257D34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3)</w:t>
        <w:tab/>
        <w:t>фінансове забезпечення програм з підвищення культурного та духовного рівня населення України; оновлення матеріально-технічного та кадрового забезпечення системи надання культурних послуг населенню; будівництво нових та модернізація застарілих закладів освіти та культури (бібліотек, театрів, музеїв, центрів творчості тощо); фінансування культурних проєктів; створення та популяризація закладів спільної творчості та спілкування — медіатеки, відкриті концерти виставкові простори, коворкінги та площадки для представників креативних індустрій;</w:t>
      </w:r>
    </w:p>
    <w:p w:rsidR="00257D34" w:rsidRPr="00BC3024" w:rsidP="00257D34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4)</w:t>
        <w:tab/>
        <w:t>фінансове забезпечення діяльності Комісії з регулювання у сфері азартних ігор у випадках прямо передбачених Законом України "Про державне регулювання діяльності у сфері азартних ігор".</w:t>
      </w:r>
    </w:p>
    <w:p w:rsidR="001361F8" w:rsidRPr="00BC3024" w:rsidP="00257D34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 w:rsidR="00257D34">
        <w:rPr>
          <w:rFonts w:ascii="Times New Roman" w:hAnsi="Times New Roman"/>
          <w:color w:val="000000"/>
          <w:sz w:val="28"/>
          <w:szCs w:val="28"/>
          <w:lang w:val="uk-UA" w:eastAsia="uk-UA"/>
        </w:rPr>
        <w:t>4. Порядок використання коштів державного фонду у сфері азартних ігор визначається Кабінетом Міністрів України</w:t>
      </w:r>
      <w:r w:rsidRPr="00BC3024" w:rsidR="001D2DC6">
        <w:rPr>
          <w:rFonts w:ascii="Times New Roman" w:hAnsi="Times New Roman"/>
          <w:color w:val="000000"/>
          <w:sz w:val="28"/>
          <w:szCs w:val="28"/>
          <w:lang w:val="uk-UA" w:eastAsia="uk-UA"/>
        </w:rPr>
        <w:t>"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257D34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 w:rsidR="001361F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Pr="00BC3024" w:rsidR="00454789">
        <w:rPr>
          <w:rFonts w:ascii="Times New Roman" w:hAnsi="Times New Roman"/>
          <w:color w:val="000000"/>
          <w:sz w:val="28"/>
          <w:szCs w:val="28"/>
          <w:lang w:val="uk-UA" w:eastAsia="uk-UA"/>
        </w:rPr>
        <w:t>У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статті 29:</w:t>
      </w:r>
    </w:p>
    <w:p w:rsidR="00257D34" w:rsidP="001361F8">
      <w:pPr>
        <w:bidi w:val="0"/>
        <w:spacing w:before="240" w:after="240" w:line="360" w:lineRule="auto"/>
        <w:ind w:firstLine="567"/>
        <w:contextualSpacing/>
        <w:jc w:val="both"/>
        <w:rPr>
          <w:rStyle w:val="rvts9"/>
          <w:bCs/>
          <w:sz w:val="28"/>
          <w:szCs w:val="28"/>
          <w:shd w:val="clear" w:color="auto" w:fill="FFFFFF"/>
          <w:lang w:val="uk-UA"/>
        </w:rPr>
      </w:pPr>
      <w:r w:rsidRPr="00BC3024">
        <w:rPr>
          <w:rStyle w:val="rvts9"/>
          <w:bCs/>
          <w:sz w:val="28"/>
          <w:szCs w:val="28"/>
          <w:shd w:val="clear" w:color="auto" w:fill="FFFFFF"/>
          <w:lang w:val="uk-UA"/>
        </w:rPr>
        <w:t>у пункті 23 частини другої слово та цифри "6-4 і 13-5</w:t>
      </w:r>
      <w:r w:rsidRPr="00BC3024">
        <w:rPr>
          <w:rStyle w:val="rvts9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BC3024">
        <w:rPr>
          <w:rStyle w:val="rvts9"/>
          <w:bCs/>
          <w:sz w:val="28"/>
          <w:szCs w:val="28"/>
          <w:shd w:val="clear" w:color="auto" w:fill="FFFFFF"/>
          <w:lang w:val="uk-UA"/>
        </w:rPr>
        <w:t>частини" замінити словом та цифрами "6-3, 6-4, 13-5 і 13-10 частини";</w:t>
      </w:r>
    </w:p>
    <w:p w:rsidR="001361F8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 w:rsidR="00257D34">
        <w:rPr>
          <w:rFonts w:ascii="Times New Roman" w:hAnsi="Times New Roman"/>
          <w:color w:val="000000"/>
          <w:sz w:val="28"/>
          <w:szCs w:val="28"/>
          <w:lang w:val="uk-UA" w:eastAsia="uk-UA"/>
        </w:rPr>
        <w:t>ч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астину т</w:t>
      </w:r>
      <w:r w:rsidRPr="00BC3024" w:rsidR="001D2DC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ретю </w:t>
      </w:r>
      <w:r w:rsidRPr="00BC3024" w:rsidR="00257D34">
        <w:rPr>
          <w:rFonts w:ascii="Times New Roman" w:hAnsi="Times New Roman"/>
          <w:color w:val="000000"/>
          <w:sz w:val="28"/>
          <w:szCs w:val="28"/>
          <w:lang w:val="uk-UA" w:eastAsia="uk-UA"/>
        </w:rPr>
        <w:t>після пункту 13-8</w:t>
      </w:r>
      <w:r w:rsidRPr="00BC3024" w:rsidR="001D2DC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доповнити новим</w:t>
      </w:r>
      <w:r w:rsid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и</w:t>
      </w:r>
      <w:r w:rsidRPr="00BC3024" w:rsidR="001D2DC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пунк</w:t>
      </w:r>
      <w:r w:rsidRPr="00BC3024" w:rsidR="001D2DC6">
        <w:rPr>
          <w:rFonts w:ascii="Times New Roman" w:hAnsi="Times New Roman"/>
          <w:color w:val="000000"/>
          <w:sz w:val="28"/>
          <w:szCs w:val="28"/>
          <w:lang w:val="uk-UA" w:eastAsia="uk-UA"/>
        </w:rPr>
        <w:t>т</w:t>
      </w:r>
      <w:r w:rsidRPr="00BC3024" w:rsidR="00257D34">
        <w:rPr>
          <w:rFonts w:ascii="Times New Roman" w:hAnsi="Times New Roman"/>
          <w:color w:val="000000"/>
          <w:sz w:val="28"/>
          <w:szCs w:val="28"/>
          <w:lang w:val="uk-UA" w:eastAsia="uk-UA"/>
        </w:rPr>
        <w:t>ами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13-</w:t>
      </w:r>
      <w:r w:rsidRPr="00BC3024" w:rsidR="001D2DC6">
        <w:rPr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 w:rsidRPr="00BC3024" w:rsidR="00257D3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6345DF">
        <w:rPr>
          <w:rFonts w:ascii="Times New Roman" w:hAnsi="Times New Roman"/>
          <w:color w:val="000000"/>
          <w:sz w:val="28"/>
          <w:szCs w:val="28"/>
          <w:lang w:val="uk-UA" w:eastAsia="uk-UA"/>
        </w:rPr>
        <w:br/>
      </w:r>
      <w:r w:rsidRPr="00BC3024" w:rsidR="00257D34">
        <w:rPr>
          <w:rFonts w:ascii="Times New Roman" w:hAnsi="Times New Roman"/>
          <w:color w:val="000000"/>
          <w:sz w:val="28"/>
          <w:szCs w:val="28"/>
          <w:lang w:val="uk-UA" w:eastAsia="uk-UA"/>
        </w:rPr>
        <w:t>13-10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257D34" w:rsidRPr="00BC3024" w:rsidP="00257D34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 w:rsidR="001361F8">
        <w:rPr>
          <w:rFonts w:ascii="Times New Roman" w:hAnsi="Times New Roman"/>
          <w:color w:val="000000"/>
          <w:sz w:val="28"/>
          <w:szCs w:val="28"/>
          <w:lang w:val="uk-UA" w:eastAsia="uk-UA"/>
        </w:rPr>
        <w:t>"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13-9)  щорічні внески на відповідальну гру, визначені  Законом України "Про державне регулювання діяльності у сфері азартних";</w:t>
      </w:r>
    </w:p>
    <w:p w:rsidR="001361F8" w:rsidRPr="00BC3024" w:rsidP="00257D34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 w:rsidR="00257D34">
        <w:rPr>
          <w:rFonts w:ascii="Times New Roman" w:hAnsi="Times New Roman"/>
          <w:color w:val="000000"/>
          <w:sz w:val="28"/>
          <w:szCs w:val="28"/>
          <w:lang w:val="uk-UA" w:eastAsia="uk-UA"/>
        </w:rPr>
        <w:t>13-10) штрафні санкції, пеня, що сплачуються відповідно до вимог Закону України "Про державне регулювання діяльності у сфері азартних"</w:t>
      </w:r>
      <w:r w:rsidRPr="00BC3024" w:rsidR="0045478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1361F8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3. Частину </w:t>
      </w:r>
      <w:r w:rsidRPr="00BC3024" w:rsidR="0073050D">
        <w:rPr>
          <w:rFonts w:ascii="Times New Roman" w:hAnsi="Times New Roman"/>
          <w:color w:val="000000"/>
          <w:sz w:val="28"/>
          <w:szCs w:val="28"/>
          <w:lang w:val="uk-UA" w:eastAsia="uk-UA"/>
        </w:rPr>
        <w:t>другу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статті </w:t>
      </w:r>
      <w:r w:rsidRPr="00BC3024" w:rsidR="0073050D">
        <w:rPr>
          <w:rFonts w:ascii="Times New Roman" w:hAnsi="Times New Roman"/>
          <w:color w:val="000000"/>
          <w:sz w:val="28"/>
          <w:szCs w:val="28"/>
          <w:lang w:val="uk-UA" w:eastAsia="uk-UA"/>
        </w:rPr>
        <w:t>61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BC3024" w:rsidR="0083681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після пункту 8-4 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доповнити пунктом </w:t>
      </w:r>
      <w:r w:rsidRPr="00BC3024" w:rsidR="0073050D">
        <w:rPr>
          <w:rFonts w:ascii="Times New Roman" w:hAnsi="Times New Roman"/>
          <w:color w:val="000000"/>
          <w:sz w:val="28"/>
          <w:szCs w:val="28"/>
          <w:lang w:val="uk-UA" w:eastAsia="uk-UA"/>
        </w:rPr>
        <w:t>8-5</w:t>
      </w: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454789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BC3024" w:rsidR="0073050D">
        <w:rPr>
          <w:rFonts w:ascii="Times New Roman" w:hAnsi="Times New Roman"/>
          <w:sz w:val="28"/>
          <w:szCs w:val="28"/>
          <w:lang w:val="uk-UA"/>
        </w:rPr>
        <w:t>"</w:t>
      </w:r>
      <w:r w:rsidRPr="00BC3024" w:rsidR="001D2DC6">
        <w:rPr>
          <w:rFonts w:ascii="Times New Roman" w:hAnsi="Times New Roman"/>
          <w:sz w:val="28"/>
          <w:szCs w:val="28"/>
          <w:lang w:val="uk-UA"/>
        </w:rPr>
        <w:t>8-5</w:t>
      </w:r>
      <w:r w:rsidRPr="00BC3024" w:rsidR="001D2DC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 звіт про використання коштів </w:t>
      </w:r>
      <w:r w:rsidRPr="00BC3024" w:rsidR="001D2DC6">
        <w:rPr>
          <w:rFonts w:ascii="Times New Roman" w:hAnsi="Times New Roman"/>
          <w:sz w:val="28"/>
          <w:szCs w:val="28"/>
          <w:lang w:val="uk-UA" w:eastAsia="uk-UA"/>
        </w:rPr>
        <w:t xml:space="preserve">державного фонду </w:t>
      </w:r>
      <w:r w:rsidRPr="00BC3024" w:rsidR="002860EC">
        <w:rPr>
          <w:rFonts w:ascii="Times New Roman" w:hAnsi="Times New Roman"/>
          <w:sz w:val="28"/>
          <w:szCs w:val="28"/>
          <w:lang w:val="uk-UA" w:eastAsia="uk-UA"/>
        </w:rPr>
        <w:t>у сфері азартних ігор</w:t>
      </w:r>
      <w:r w:rsidRPr="00BC3024" w:rsidR="0073050D">
        <w:rPr>
          <w:rFonts w:ascii="Times New Roman" w:hAnsi="Times New Roman"/>
          <w:sz w:val="28"/>
          <w:szCs w:val="28"/>
          <w:lang w:val="uk-UA" w:eastAsia="uk-UA"/>
        </w:rPr>
        <w:t>"</w:t>
      </w:r>
      <w:r w:rsidRPr="00BC3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454789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BC3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4. Пункт </w:t>
      </w:r>
      <w:r w:rsidRPr="00BC30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43-1 частини першої статті 6</w:t>
      </w:r>
      <w:r w:rsidRPr="00BC3024" w:rsidR="008F1B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</w:t>
      </w:r>
      <w:r w:rsidRPr="00BC30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викласти в такій редакції:</w:t>
      </w:r>
    </w:p>
    <w:p w:rsidR="00454789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BC3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BC30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43-1) </w:t>
      </w:r>
      <w:r w:rsidRPr="00DB5264" w:rsidR="00DB52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гральний збір, що справляється в межах господарської діяльності з організації та проведення азартних ігор з використанням автоматів, ігор в покерних клубах та в казино, який сплачується ліцензіатами до бюджетів місцевого самоврядування за місцем розташування відповідного грального закладу</w:t>
      </w:r>
      <w:r w:rsidRPr="00BC30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".</w:t>
      </w:r>
    </w:p>
    <w:p w:rsidR="006C06B2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BC30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5. </w:t>
      </w:r>
      <w:r w:rsidRPr="00BC3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Пункт </w:t>
      </w:r>
      <w:r w:rsidRPr="00BC30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8-1 частини першої статті 69 викласти в такій редакції:</w:t>
      </w:r>
    </w:p>
    <w:p w:rsidR="006C06B2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BC30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"8-1) </w:t>
      </w:r>
      <w:r w:rsidRPr="00DB5264" w:rsidR="00DB52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гральний збір, що справляється в межах господарської діяльності з організації та проведення азартних ігор з використанням автоматів, ігор в покерних клубах та в казино, який сплачується ліцензіатами до бюджетів місцевого самоврядування за місцем розташування відповідного грального закладу</w:t>
      </w:r>
      <w:r w:rsidRPr="00BC30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".</w:t>
      </w:r>
    </w:p>
    <w:p w:rsidR="001361F8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II. Прикінцеві положення</w:t>
      </w:r>
    </w:p>
    <w:p w:rsidR="0073050D" w:rsidRPr="00BC3024" w:rsidP="0073050D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1. Цей Закон набирає чинності з дня набрання чинності Законом України "Про державне регулювання діяльності у сфері азартних ігор".</w:t>
      </w:r>
    </w:p>
    <w:p w:rsidR="0073050D" w:rsidRPr="00BC3024" w:rsidP="0073050D">
      <w:pPr>
        <w:bidi w:val="0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color w:val="000000"/>
          <w:sz w:val="28"/>
          <w:szCs w:val="28"/>
          <w:lang w:val="uk-UA" w:eastAsia="uk-UA"/>
        </w:rPr>
        <w:t>2. Кабінету Міністрів України у тримісячний строк з дня набрання чинності цим Законом:</w:t>
      </w:r>
    </w:p>
    <w:p w:rsidR="0073050D" w:rsidRPr="00BC3024" w:rsidP="0073050D">
      <w:pPr>
        <w:bidi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C3024">
        <w:rPr>
          <w:rFonts w:ascii="Times New Roman" w:hAnsi="Times New Roman"/>
          <w:sz w:val="28"/>
          <w:szCs w:val="20"/>
          <w:lang w:val="uk-UA" w:eastAsia="ru-RU"/>
        </w:rPr>
        <w:t xml:space="preserve">1) привести свої нормативно-правові акти у відповідність із цим </w:t>
      </w:r>
      <w:r w:rsidRPr="00BC3024">
        <w:rPr>
          <w:rFonts w:ascii="Times New Roman" w:hAnsi="Times New Roman"/>
          <w:sz w:val="28"/>
          <w:szCs w:val="28"/>
          <w:lang w:val="uk-UA" w:eastAsia="ru-RU"/>
        </w:rPr>
        <w:t>Законом;</w:t>
      </w:r>
    </w:p>
    <w:p w:rsidR="0073050D" w:rsidRPr="00BC3024" w:rsidP="0073050D">
      <w:pPr>
        <w:bidi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C3024">
        <w:rPr>
          <w:rFonts w:ascii="Times New Roman" w:hAnsi="Times New Roman"/>
          <w:sz w:val="28"/>
          <w:szCs w:val="28"/>
          <w:lang w:val="uk-UA" w:eastAsia="ru-RU"/>
        </w:rPr>
        <w:t>2) забезпечити перегляд та приведення центральними органами виконавчої влади їх нормативно-правових актів у відповідність із цим Законом.</w:t>
      </w:r>
    </w:p>
    <w:p w:rsidR="006C06B2" w:rsidRPr="00BC3024" w:rsidP="0073050D">
      <w:pPr>
        <w:bidi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C06B2" w:rsidRPr="00BC3024" w:rsidP="0073050D">
      <w:pPr>
        <w:bidi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3050D" w:rsidRPr="00BC3024" w:rsidP="0073050D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C3024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Голова Верховної Ради                                                 </w:t>
      </w:r>
    </w:p>
    <w:p w:rsidR="0073050D" w:rsidRPr="00BC3024" w:rsidP="0073050D">
      <w:pPr>
        <w:bidi w:val="0"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C3024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          України</w:t>
      </w:r>
    </w:p>
    <w:p w:rsidR="001361F8" w:rsidRPr="00BC3024" w:rsidP="001361F8">
      <w:pPr>
        <w:bidi w:val="0"/>
        <w:spacing w:before="240" w:after="24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5B726E" w:rsidRPr="00BC3024" w:rsidP="005B726E">
      <w:pPr>
        <w:bidi w:val="0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0"/>
          <w:lang w:val="uk-UA" w:eastAsia="uk-UA"/>
        </w:rPr>
      </w:pPr>
    </w:p>
    <w:p w:rsidR="00DE4B51" w:rsidRPr="00BC3024">
      <w:pPr>
        <w:bidi w:val="0"/>
        <w:rPr>
          <w:lang w:val="uk-UA"/>
        </w:rPr>
      </w:pPr>
    </w:p>
    <w:sectPr w:rsidSect="006C06B2">
      <w:headerReference w:type="even" r:id="rId5"/>
      <w:headerReference w:type="default" r:id="rId6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altName w:val="Device Font 10cpi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00000000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18F" w:rsidRPr="007D20C7" w:rsidP="00317654">
    <w:pPr>
      <w:pStyle w:val="Header"/>
      <w:bidi w:val="0"/>
      <w:jc w:val="center"/>
      <w:rPr>
        <w:rFonts w:ascii="Calibri" w:hAnsi="Calibri"/>
        <w:lang w:val="uk-UA"/>
      </w:rPr>
    </w:pPr>
    <w:r w:rsidR="00B208E3">
      <w:fldChar w:fldCharType="begin"/>
    </w:r>
    <w:r w:rsidR="00B208E3">
      <w:instrText xml:space="preserve"> PAGE   \* MERGEFORMAT </w:instrText>
    </w:r>
    <w:r w:rsidR="00B208E3">
      <w:fldChar w:fldCharType="separate"/>
    </w:r>
    <w:r w:rsidR="00B208E3">
      <w:rPr>
        <w:noProof/>
      </w:rPr>
      <w:t>1</w:t>
    </w:r>
    <w:r w:rsidR="00B208E3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18F" w:rsidRPr="001D2DC6">
    <w:pPr>
      <w:pStyle w:val="Header"/>
      <w:bidi w:val="0"/>
      <w:jc w:val="center"/>
      <w:rPr>
        <w:rFonts w:ascii="Times New Roman" w:hAnsi="Times New Roman"/>
        <w:sz w:val="28"/>
        <w:szCs w:val="28"/>
      </w:rPr>
    </w:pPr>
    <w:r w:rsidRPr="001D2DC6" w:rsidR="00B208E3">
      <w:rPr>
        <w:rFonts w:ascii="Times New Roman" w:hAnsi="Times New Roman"/>
        <w:sz w:val="28"/>
        <w:szCs w:val="28"/>
      </w:rPr>
      <w:fldChar w:fldCharType="begin"/>
    </w:r>
    <w:r w:rsidRPr="001D2DC6" w:rsidR="00B208E3">
      <w:rPr>
        <w:rFonts w:ascii="Times New Roman" w:hAnsi="Times New Roman"/>
        <w:sz w:val="28"/>
        <w:szCs w:val="28"/>
      </w:rPr>
      <w:instrText xml:space="preserve"> PAGE   \* MERGEFORMAT </w:instrText>
    </w:r>
    <w:r w:rsidRPr="001D2DC6" w:rsidR="00B208E3">
      <w:rPr>
        <w:rFonts w:ascii="Times New Roman" w:hAnsi="Times New Roman"/>
        <w:sz w:val="28"/>
        <w:szCs w:val="28"/>
      </w:rPr>
      <w:fldChar w:fldCharType="separate"/>
    </w:r>
    <w:r w:rsidR="00E06FF1">
      <w:rPr>
        <w:rFonts w:ascii="Times New Roman" w:hAnsi="Times New Roman"/>
        <w:noProof/>
        <w:sz w:val="28"/>
        <w:szCs w:val="28"/>
      </w:rPr>
      <w:t>4</w:t>
    </w:r>
    <w:r w:rsidRPr="001D2DC6" w:rsidR="00B208E3">
      <w:rPr>
        <w:rFonts w:ascii="Times New Roman" w:hAnsi="Times New Roman"/>
        <w:sz w:val="28"/>
        <w:szCs w:val="28"/>
      </w:rPr>
      <w:fldChar w:fldCharType="end"/>
    </w:r>
  </w:p>
  <w:p w:rsidR="000F018F" w:rsidRPr="007D20C7" w:rsidP="00317654">
    <w:pPr>
      <w:pStyle w:val="Header"/>
      <w:bidi w:val="0"/>
      <w:rPr>
        <w:rFonts w:ascii="Calibri" w:hAnsi="Calibri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C09ED"/>
    <w:multiLevelType w:val="hybridMultilevel"/>
    <w:tmpl w:val="83D299DA"/>
    <w:lvl w:ilvl="0">
      <w:start w:val="1"/>
      <w:numFmt w:val="upperRoman"/>
      <w:lvlText w:val="%1."/>
      <w:lvlJc w:val="left"/>
      <w:pPr>
        <w:ind w:left="1145" w:hanging="72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0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2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4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6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8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0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2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45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doNotTrackMoves/>
  <w:defaultTabStop w:val="708"/>
  <w:hyphenationZone w:val="425"/>
  <w:characterSpacingControl w:val="doNotCompress"/>
  <w:compat/>
  <w:rsids>
    <w:rsidRoot w:val="005B726E"/>
    <w:rsid w:val="00046049"/>
    <w:rsid w:val="000F018F"/>
    <w:rsid w:val="001361F8"/>
    <w:rsid w:val="001A0FEE"/>
    <w:rsid w:val="001D2DC6"/>
    <w:rsid w:val="00204BC5"/>
    <w:rsid w:val="0021279F"/>
    <w:rsid w:val="00257D34"/>
    <w:rsid w:val="002860EC"/>
    <w:rsid w:val="00317654"/>
    <w:rsid w:val="003408F9"/>
    <w:rsid w:val="003E67F8"/>
    <w:rsid w:val="00454789"/>
    <w:rsid w:val="00525091"/>
    <w:rsid w:val="0055525C"/>
    <w:rsid w:val="00577040"/>
    <w:rsid w:val="005B726E"/>
    <w:rsid w:val="006024B5"/>
    <w:rsid w:val="00613FA3"/>
    <w:rsid w:val="006345DF"/>
    <w:rsid w:val="00651436"/>
    <w:rsid w:val="00676B6C"/>
    <w:rsid w:val="006C06B2"/>
    <w:rsid w:val="0073050D"/>
    <w:rsid w:val="007D20C7"/>
    <w:rsid w:val="007D77B2"/>
    <w:rsid w:val="00806088"/>
    <w:rsid w:val="00825EE3"/>
    <w:rsid w:val="00836811"/>
    <w:rsid w:val="008A3DEB"/>
    <w:rsid w:val="008F1B96"/>
    <w:rsid w:val="009D4B74"/>
    <w:rsid w:val="00A31E9A"/>
    <w:rsid w:val="00A462AC"/>
    <w:rsid w:val="00A652A7"/>
    <w:rsid w:val="00AD53DB"/>
    <w:rsid w:val="00B208E3"/>
    <w:rsid w:val="00B63D71"/>
    <w:rsid w:val="00BC3024"/>
    <w:rsid w:val="00CC4946"/>
    <w:rsid w:val="00D106BF"/>
    <w:rsid w:val="00DB5264"/>
    <w:rsid w:val="00DE4B51"/>
    <w:rsid w:val="00E06FF1"/>
    <w:rsid w:val="00E71DEF"/>
    <w:rsid w:val="00EC6844"/>
    <w:rsid w:val="00F26F4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"/>
    <w:uiPriority w:val="99"/>
    <w:unhideWhenUsed/>
    <w:rsid w:val="005B726E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5B726E"/>
    <w:rPr>
      <w:rFonts w:cs="Times New Roman"/>
      <w:rtl w:val="0"/>
      <w:cs w:val="0"/>
    </w:rPr>
  </w:style>
  <w:style w:type="paragraph" w:styleId="ListParagraph">
    <w:name w:val="List Paragraph"/>
    <w:basedOn w:val="Normal"/>
    <w:uiPriority w:val="34"/>
    <w:qFormat/>
    <w:rsid w:val="00046049"/>
    <w:pPr>
      <w:ind w:left="720"/>
      <w:contextualSpacing/>
      <w:jc w:val="left"/>
    </w:pPr>
  </w:style>
  <w:style w:type="character" w:styleId="Hyperlink">
    <w:name w:val="Hyperlink"/>
    <w:basedOn w:val="DefaultParagraphFont"/>
    <w:uiPriority w:val="99"/>
    <w:semiHidden/>
    <w:unhideWhenUsed/>
    <w:rsid w:val="001361F8"/>
    <w:rPr>
      <w:rFonts w:cs="Times New Roman"/>
      <w:color w:val="0000FF"/>
      <w:u w:val="single"/>
      <w:rtl w:val="0"/>
      <w:cs w:val="0"/>
    </w:rPr>
  </w:style>
  <w:style w:type="paragraph" w:styleId="Footer">
    <w:name w:val="footer"/>
    <w:basedOn w:val="Normal"/>
    <w:link w:val="a0"/>
    <w:uiPriority w:val="99"/>
    <w:unhideWhenUsed/>
    <w:rsid w:val="001D2DC6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0">
    <w:name w:val="Нижний колонтитул Знак"/>
    <w:basedOn w:val="DefaultParagraphFont"/>
    <w:link w:val="Footer"/>
    <w:uiPriority w:val="99"/>
    <w:locked/>
    <w:rsid w:val="001D2DC6"/>
    <w:rPr>
      <w:rFonts w:cs="Times New Roman"/>
      <w:rtl w:val="0"/>
      <w:cs w:val="0"/>
    </w:rPr>
  </w:style>
  <w:style w:type="character" w:customStyle="1" w:styleId="rvts37">
    <w:name w:val="rvts37"/>
    <w:basedOn w:val="DefaultParagraphFont"/>
    <w:rsid w:val="001D2DC6"/>
    <w:rPr>
      <w:rFonts w:cs="Times New Roman"/>
      <w:rtl w:val="0"/>
      <w:cs w:val="0"/>
    </w:rPr>
  </w:style>
  <w:style w:type="paragraph" w:styleId="BalloonText">
    <w:name w:val="Balloon Text"/>
    <w:basedOn w:val="Normal"/>
    <w:link w:val="a1"/>
    <w:uiPriority w:val="99"/>
    <w:semiHidden/>
    <w:unhideWhenUsed/>
    <w:rsid w:val="007D77B2"/>
    <w:pPr>
      <w:spacing w:after="0" w:line="240" w:lineRule="auto"/>
      <w:jc w:val="left"/>
    </w:pPr>
    <w:rPr>
      <w:rFonts w:ascii="Segoe UI Symbol" w:hAnsi="Segoe UI Symbol" w:cs="Segoe UI Symbol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locked/>
    <w:rsid w:val="007D77B2"/>
    <w:rPr>
      <w:rFonts w:ascii="Segoe UI Symbol" w:hAnsi="Segoe UI Symbol" w:cs="Segoe UI Symbol"/>
      <w:sz w:val="18"/>
      <w:szCs w:val="18"/>
      <w:rtl w:val="0"/>
      <w:cs w:val="0"/>
    </w:rPr>
  </w:style>
  <w:style w:type="paragraph" w:customStyle="1" w:styleId="rvps2">
    <w:name w:val="rvps2"/>
    <w:basedOn w:val="Normal"/>
    <w:rsid w:val="00257D3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DefaultParagraphFont"/>
    <w:rsid w:val="00257D34"/>
    <w:rPr>
      <w:rFonts w:ascii="Times New Roman" w:hAnsi="Times New Roman"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2456-17" TargetMode="Externa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Pages>4</Pages>
  <Words>671</Words>
  <Characters>4327</Characters>
  <Application>Microsoft Office Word</Application>
  <DocSecurity>0</DocSecurity>
  <Lines>0</Lines>
  <Paragraphs>0</Paragraphs>
  <ScaleCrop>false</ScaleCrop>
  <Company/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Грицаєнко</dc:creator>
  <cp:lastModifiedBy>Microsoft Office User</cp:lastModifiedBy>
  <cp:revision>5</cp:revision>
  <cp:lastPrinted>2019-11-06T14:14:00Z</cp:lastPrinted>
  <dcterms:created xsi:type="dcterms:W3CDTF">2019-11-06T06:16:00Z</dcterms:created>
  <dcterms:modified xsi:type="dcterms:W3CDTF">2019-11-06T14:14:00Z</dcterms:modified>
</cp:coreProperties>
</file>