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2BF" w:rsidRPr="0095507C" w:rsidRDefault="003922BF" w:rsidP="009D3861">
      <w:pPr>
        <w:jc w:val="center"/>
        <w:rPr>
          <w:b/>
          <w:caps/>
          <w:sz w:val="16"/>
          <w:szCs w:val="16"/>
          <w:lang w:val="ru-RU"/>
        </w:rPr>
      </w:pPr>
      <w:r w:rsidRPr="0095507C">
        <w:rPr>
          <w:b/>
          <w:caps/>
        </w:rPr>
        <w:t xml:space="preserve">Порівняльна таблиця </w:t>
      </w:r>
    </w:p>
    <w:p w:rsidR="003922BF" w:rsidRPr="0095507C" w:rsidRDefault="003922BF" w:rsidP="009D3861">
      <w:pPr>
        <w:jc w:val="center"/>
        <w:rPr>
          <w:b/>
          <w:caps/>
          <w:sz w:val="16"/>
          <w:szCs w:val="16"/>
          <w:lang w:val="ru-RU"/>
        </w:rPr>
      </w:pPr>
    </w:p>
    <w:p w:rsidR="00A471E4" w:rsidRPr="0095507C" w:rsidRDefault="003922BF" w:rsidP="00A471E4">
      <w:pPr>
        <w:jc w:val="center"/>
        <w:rPr>
          <w:b/>
          <w:bCs/>
          <w:lang w:eastAsia="ru-RU"/>
        </w:rPr>
      </w:pPr>
      <w:r w:rsidRPr="0095507C">
        <w:rPr>
          <w:b/>
        </w:rPr>
        <w:t xml:space="preserve">до проекту Закону України </w:t>
      </w:r>
      <w:r w:rsidR="00A471E4" w:rsidRPr="0095507C">
        <w:rPr>
          <w:b/>
          <w:bCs/>
          <w:lang w:eastAsia="ru-RU"/>
        </w:rPr>
        <w:t>«Про заходи, спрямовані на погашення заборгованості,</w:t>
      </w:r>
    </w:p>
    <w:p w:rsidR="00A471E4" w:rsidRPr="0095507C" w:rsidRDefault="00A471E4" w:rsidP="00A471E4">
      <w:pPr>
        <w:jc w:val="center"/>
        <w:rPr>
          <w:b/>
          <w:bCs/>
          <w:lang w:eastAsia="ru-RU"/>
        </w:rPr>
      </w:pPr>
      <w:r w:rsidRPr="0095507C">
        <w:rPr>
          <w:b/>
          <w:bCs/>
          <w:lang w:eastAsia="ru-RU"/>
        </w:rPr>
        <w:t>що утворилася на оптовому ринку електричної енергії»</w:t>
      </w:r>
    </w:p>
    <w:p w:rsidR="003922BF" w:rsidRPr="0095507C" w:rsidRDefault="003922BF" w:rsidP="002B0BAA">
      <w:pPr>
        <w:shd w:val="clear" w:color="auto" w:fill="FFFFFF"/>
        <w:spacing w:line="276" w:lineRule="auto"/>
        <w:jc w:val="center"/>
        <w:rPr>
          <w:b/>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9"/>
        <w:gridCol w:w="7780"/>
      </w:tblGrid>
      <w:tr w:rsidR="003922BF" w:rsidRPr="0095507C" w:rsidTr="006D14F6">
        <w:trPr>
          <w:trHeight w:val="852"/>
          <w:tblHeader/>
        </w:trPr>
        <w:tc>
          <w:tcPr>
            <w:tcW w:w="7779" w:type="dxa"/>
          </w:tcPr>
          <w:p w:rsidR="003922BF" w:rsidRPr="0095507C" w:rsidRDefault="003922BF" w:rsidP="009D3861">
            <w:pPr>
              <w:keepNext/>
              <w:widowControl w:val="0"/>
              <w:jc w:val="center"/>
            </w:pPr>
            <w:r w:rsidRPr="0095507C">
              <w:rPr>
                <w:b/>
              </w:rPr>
              <w:t>Зміст (положення) законодавчих актів України, до яких вносяться зміни</w:t>
            </w:r>
          </w:p>
        </w:tc>
        <w:tc>
          <w:tcPr>
            <w:tcW w:w="7780" w:type="dxa"/>
          </w:tcPr>
          <w:p w:rsidR="003922BF" w:rsidRPr="0095507C" w:rsidRDefault="003922BF" w:rsidP="009D3861">
            <w:pPr>
              <w:keepNext/>
              <w:widowControl w:val="0"/>
              <w:jc w:val="center"/>
            </w:pPr>
            <w:r w:rsidRPr="0095507C">
              <w:rPr>
                <w:b/>
              </w:rPr>
              <w:t>Зміст (положення) законодавчих актів України з урахуванням запропонованих змін</w:t>
            </w:r>
          </w:p>
        </w:tc>
      </w:tr>
      <w:tr w:rsidR="00215148" w:rsidRPr="0095507C" w:rsidTr="000C70C1">
        <w:trPr>
          <w:trHeight w:val="462"/>
        </w:trPr>
        <w:tc>
          <w:tcPr>
            <w:tcW w:w="15559" w:type="dxa"/>
            <w:gridSpan w:val="2"/>
          </w:tcPr>
          <w:p w:rsidR="00215148" w:rsidRPr="0095507C" w:rsidRDefault="00553798" w:rsidP="001B01B4">
            <w:pPr>
              <w:ind w:firstLine="604"/>
              <w:jc w:val="center"/>
              <w:rPr>
                <w:rStyle w:val="rvts9"/>
                <w:rFonts w:ascii="Roboto" w:hAnsi="Roboto" w:cs="Segoe UI"/>
                <w:color w:val="292B2C"/>
              </w:rPr>
            </w:pPr>
            <w:r w:rsidRPr="0095507C">
              <w:rPr>
                <w:b/>
                <w:lang w:eastAsia="ru-RU"/>
              </w:rPr>
              <w:t>Закон України «Про виконавче провадження»</w:t>
            </w:r>
          </w:p>
        </w:tc>
      </w:tr>
      <w:tr w:rsidR="00215148" w:rsidRPr="0095507C" w:rsidTr="004503FC">
        <w:trPr>
          <w:trHeight w:val="462"/>
        </w:trPr>
        <w:tc>
          <w:tcPr>
            <w:tcW w:w="7779" w:type="dxa"/>
          </w:tcPr>
          <w:p w:rsidR="00E52DC9" w:rsidRPr="0095507C" w:rsidRDefault="00E52DC9" w:rsidP="00E52DC9">
            <w:pPr>
              <w:jc w:val="center"/>
            </w:pPr>
            <w:r w:rsidRPr="0095507C">
              <w:t>Стаття 34. Зупинення вчинення виконавчих дій</w:t>
            </w:r>
          </w:p>
          <w:p w:rsidR="00E52DC9" w:rsidRPr="0095507C" w:rsidRDefault="00E52DC9" w:rsidP="00E52DC9">
            <w:pPr>
              <w:numPr>
                <w:ilvl w:val="0"/>
                <w:numId w:val="6"/>
              </w:numPr>
              <w:ind w:left="296"/>
            </w:pPr>
            <w:r w:rsidRPr="0095507C">
              <w:t>Виконавець зупиняє вчинення виконавчих дій у разі:</w:t>
            </w:r>
          </w:p>
          <w:p w:rsidR="00E52DC9" w:rsidRPr="0095507C" w:rsidRDefault="00E52DC9" w:rsidP="00E52DC9">
            <w:r w:rsidRPr="0095507C">
              <w:t>…</w:t>
            </w:r>
          </w:p>
          <w:p w:rsidR="00E52DC9" w:rsidRPr="005347E5" w:rsidRDefault="00553798" w:rsidP="00EA791A">
            <w:pPr>
              <w:jc w:val="both"/>
              <w:rPr>
                <w:rStyle w:val="rvts9"/>
                <w:rFonts w:ascii="Calibri" w:hAnsi="Calibri" w:cs="Segoe UI"/>
                <w:color w:val="292B2C"/>
              </w:rPr>
            </w:pPr>
            <w:r w:rsidRPr="0095507C">
              <w:rPr>
                <w:rStyle w:val="rvts0"/>
              </w:rPr>
              <w:t xml:space="preserve">7) включення підприємства паливно-енергетичного комплексу до Реєстру підприємств паливно-енергетичного комплексу, які беруть участь у процедурі погашення заборгованості, яка виникла внаслідок розрахунків за енергоносії з урахуванням дати заборгованості відповідно до Закону України </w:t>
            </w:r>
            <w:r w:rsidR="002C7C18" w:rsidRPr="0095507C">
              <w:rPr>
                <w:rStyle w:val="rvts0"/>
              </w:rPr>
              <w:t>«</w:t>
            </w:r>
            <w:r w:rsidRPr="0095507C">
              <w:rPr>
                <w:rStyle w:val="rvts0"/>
              </w:rPr>
              <w:t>Про заходи, спрямовані на забезпечення сталого функціонування підприємств паливно-енергетичного комплексу</w:t>
            </w:r>
            <w:r w:rsidR="002C7C18" w:rsidRPr="0095507C">
              <w:rPr>
                <w:rStyle w:val="rvts0"/>
              </w:rPr>
              <w:t>»</w:t>
            </w:r>
            <w:r w:rsidRPr="0095507C">
              <w:rPr>
                <w:rStyle w:val="rvts0"/>
              </w:rPr>
              <w:t xml:space="preserve">, крім рішень, передбачених </w:t>
            </w:r>
            <w:hyperlink r:id="rId7" w:tgtFrame="_blank" w:history="1">
              <w:r w:rsidRPr="0095507C">
                <w:rPr>
                  <w:rStyle w:val="ab"/>
                  <w:color w:val="auto"/>
                  <w:u w:val="none"/>
                </w:rPr>
                <w:t>абзацом шостим</w:t>
              </w:r>
            </w:hyperlink>
            <w:r w:rsidRPr="0095507C">
              <w:rPr>
                <w:rStyle w:val="rvts0"/>
              </w:rPr>
              <w:t xml:space="preserve"> пункту 3.7 статті 3 зазначеного Закону;</w:t>
            </w:r>
          </w:p>
        </w:tc>
        <w:tc>
          <w:tcPr>
            <w:tcW w:w="7780" w:type="dxa"/>
          </w:tcPr>
          <w:p w:rsidR="00553798" w:rsidRPr="0095507C" w:rsidRDefault="00553798" w:rsidP="00553798">
            <w:pPr>
              <w:jc w:val="center"/>
            </w:pPr>
            <w:r w:rsidRPr="0095507C">
              <w:t>Стаття 34. Зупинення вчинення виконавчих дій</w:t>
            </w:r>
          </w:p>
          <w:p w:rsidR="00553798" w:rsidRPr="0095507C" w:rsidRDefault="00553798" w:rsidP="00E52DC9">
            <w:pPr>
              <w:numPr>
                <w:ilvl w:val="0"/>
                <w:numId w:val="7"/>
              </w:numPr>
              <w:ind w:left="296"/>
            </w:pPr>
            <w:bookmarkStart w:id="0" w:name="n345"/>
            <w:bookmarkEnd w:id="0"/>
            <w:r w:rsidRPr="0095507C">
              <w:t>Виконавець зупиняє вчинення виконавчих дій у разі:</w:t>
            </w:r>
          </w:p>
          <w:p w:rsidR="00553798" w:rsidRPr="0095507C" w:rsidRDefault="00553798" w:rsidP="00553798">
            <w:r w:rsidRPr="0095507C">
              <w:t>…</w:t>
            </w:r>
          </w:p>
          <w:p w:rsidR="00553798" w:rsidRPr="0095507C" w:rsidRDefault="00553798" w:rsidP="00553798">
            <w:pPr>
              <w:jc w:val="both"/>
              <w:rPr>
                <w:rStyle w:val="rvts0"/>
              </w:rPr>
            </w:pPr>
            <w:r w:rsidRPr="0095507C">
              <w:t>7)</w:t>
            </w:r>
            <w:r w:rsidRPr="0095507C">
              <w:rPr>
                <w:rStyle w:val="a7"/>
                <w:sz w:val="28"/>
              </w:rPr>
              <w:t xml:space="preserve"> </w:t>
            </w:r>
            <w:r w:rsidR="00E52DC9" w:rsidRPr="0095507C">
              <w:rPr>
                <w:rStyle w:val="a7"/>
                <w:i w:val="0"/>
                <w:sz w:val="28"/>
              </w:rPr>
              <w:t>я</w:t>
            </w:r>
            <w:r w:rsidRPr="0095507C">
              <w:rPr>
                <w:rStyle w:val="rvts0"/>
              </w:rPr>
              <w:t>кщо вони вчиняються до оптового постачальника електричної енергії, відповідно до Законом України «Про заходи, спрямовані на погашення заборгованості, що утворилася на оптовому ринку електричної енергії</w:t>
            </w:r>
            <w:r w:rsidR="00E52DC9" w:rsidRPr="0095507C">
              <w:rPr>
                <w:rStyle w:val="rvts0"/>
              </w:rPr>
              <w:t>;</w:t>
            </w:r>
          </w:p>
          <w:p w:rsidR="00E52DC9" w:rsidRPr="0095507C" w:rsidRDefault="00E52DC9" w:rsidP="00553798">
            <w:pPr>
              <w:jc w:val="both"/>
            </w:pPr>
            <w:r w:rsidRPr="0095507C">
              <w:t>…</w:t>
            </w:r>
          </w:p>
          <w:p w:rsidR="00553798" w:rsidRPr="0095507C" w:rsidRDefault="00553798" w:rsidP="00553798">
            <w:pPr>
              <w:jc w:val="both"/>
            </w:pPr>
          </w:p>
          <w:p w:rsidR="00215148" w:rsidRPr="0095507C" w:rsidRDefault="00215148" w:rsidP="00553798">
            <w:pPr>
              <w:ind w:firstLine="604"/>
              <w:jc w:val="both"/>
              <w:rPr>
                <w:rStyle w:val="rvts0"/>
              </w:rPr>
            </w:pPr>
          </w:p>
        </w:tc>
      </w:tr>
      <w:tr w:rsidR="002C7C18" w:rsidRPr="0095507C" w:rsidTr="004503FC">
        <w:trPr>
          <w:trHeight w:val="462"/>
        </w:trPr>
        <w:tc>
          <w:tcPr>
            <w:tcW w:w="7779" w:type="dxa"/>
          </w:tcPr>
          <w:p w:rsidR="002C7C18" w:rsidRPr="0095507C" w:rsidRDefault="002C7C18" w:rsidP="002C7C18">
            <w:pPr>
              <w:jc w:val="center"/>
            </w:pPr>
            <w:r w:rsidRPr="0095507C">
              <w:t>Стаття 35. Строки зупинення вчинення виконавчих дій</w:t>
            </w:r>
          </w:p>
          <w:p w:rsidR="002C7C18" w:rsidRPr="0095507C" w:rsidRDefault="002C7C18" w:rsidP="002C7C18">
            <w:pPr>
              <w:jc w:val="both"/>
            </w:pPr>
            <w:r w:rsidRPr="0095507C">
              <w:t>…</w:t>
            </w:r>
          </w:p>
          <w:p w:rsidR="002C7C18" w:rsidRPr="0095507C" w:rsidRDefault="002C7C18" w:rsidP="002C7C18">
            <w:pPr>
              <w:jc w:val="both"/>
            </w:pPr>
            <w:r w:rsidRPr="0095507C">
              <w:t xml:space="preserve">2. У випадку, передбаченому </w:t>
            </w:r>
            <w:hyperlink r:id="rId8" w:anchor="n352" w:history="1">
              <w:r w:rsidRPr="0095507C">
                <w:t>пунктом 7</w:t>
              </w:r>
            </w:hyperlink>
            <w:r w:rsidRPr="0095507C">
              <w:t xml:space="preserve"> частини першої статті 34 цього Закону, виконавець зупиняє вчинення виконавчих дій до закінчення строку дії процедури погашення заборгованості підприємствами паливно-енергетичного комплексу, визначеного </w:t>
            </w:r>
            <w:hyperlink r:id="rId9" w:tgtFrame="_blank" w:history="1">
              <w:r w:rsidRPr="0095507C">
                <w:t>Законом України</w:t>
              </w:r>
            </w:hyperlink>
            <w:r w:rsidRPr="0095507C">
              <w:t xml:space="preserve"> «Про заходи, спрямовані на забезпечення сталого функціонування підприємств паливно-енергетичного комплексу».</w:t>
            </w:r>
          </w:p>
          <w:p w:rsidR="002C7C18" w:rsidRPr="0095507C" w:rsidRDefault="002C7C18" w:rsidP="002C7C18">
            <w:pPr>
              <w:jc w:val="center"/>
            </w:pPr>
          </w:p>
        </w:tc>
        <w:tc>
          <w:tcPr>
            <w:tcW w:w="7780" w:type="dxa"/>
          </w:tcPr>
          <w:p w:rsidR="002C7C18" w:rsidRPr="0095507C" w:rsidRDefault="002C7C18" w:rsidP="002C7C18">
            <w:pPr>
              <w:jc w:val="center"/>
            </w:pPr>
            <w:r w:rsidRPr="0095507C">
              <w:t>Стаття 35. Строки зупинення вчинення виконавчих дій</w:t>
            </w:r>
          </w:p>
          <w:p w:rsidR="002C7C18" w:rsidRPr="0095507C" w:rsidRDefault="002C7C18" w:rsidP="002C7C18">
            <w:pPr>
              <w:jc w:val="center"/>
            </w:pPr>
            <w:r w:rsidRPr="0095507C">
              <w:t>…</w:t>
            </w:r>
          </w:p>
          <w:p w:rsidR="002C7C18" w:rsidRPr="0095507C" w:rsidRDefault="002C7C18" w:rsidP="002C7C18">
            <w:pPr>
              <w:numPr>
                <w:ilvl w:val="0"/>
                <w:numId w:val="7"/>
              </w:numPr>
              <w:ind w:left="0" w:firstLine="0"/>
              <w:jc w:val="both"/>
            </w:pPr>
            <w:r w:rsidRPr="0095507C">
              <w:rPr>
                <w:rStyle w:val="rvts0"/>
              </w:rPr>
              <w:t xml:space="preserve">У випадку, передбаченому </w:t>
            </w:r>
            <w:hyperlink r:id="rId10" w:anchor="n352" w:history="1">
              <w:r w:rsidRPr="0095507C">
                <w:rPr>
                  <w:rStyle w:val="ab"/>
                  <w:color w:val="auto"/>
                  <w:u w:val="none"/>
                </w:rPr>
                <w:t>пунктом 7</w:t>
              </w:r>
            </w:hyperlink>
            <w:r w:rsidRPr="0095507C">
              <w:rPr>
                <w:rStyle w:val="rvts0"/>
              </w:rPr>
              <w:t xml:space="preserve"> частини першої статті 34 цього Закону, виконавець зупиняє вчинення виконавчих дій до закінчення процедури погашення заборгованості визначеної Законом України «Про заходи, спрямовані на погашення заборгованості, що утворилася на оптовому ринку електричної енергії».</w:t>
            </w:r>
          </w:p>
          <w:p w:rsidR="002C7C18" w:rsidRPr="0095507C" w:rsidRDefault="002C7C18" w:rsidP="002C7C18">
            <w:pPr>
              <w:jc w:val="center"/>
            </w:pPr>
          </w:p>
        </w:tc>
      </w:tr>
      <w:tr w:rsidR="0076271D" w:rsidRPr="0095507C" w:rsidTr="00BD1414">
        <w:trPr>
          <w:trHeight w:val="462"/>
        </w:trPr>
        <w:tc>
          <w:tcPr>
            <w:tcW w:w="15559" w:type="dxa"/>
            <w:gridSpan w:val="2"/>
          </w:tcPr>
          <w:p w:rsidR="0076271D" w:rsidRPr="0095507C" w:rsidRDefault="0076271D" w:rsidP="002C7C18">
            <w:pPr>
              <w:jc w:val="center"/>
              <w:rPr>
                <w:b/>
              </w:rPr>
            </w:pPr>
            <w:r w:rsidRPr="0095507C">
              <w:rPr>
                <w:rFonts w:eastAsia="Calibri"/>
                <w:b/>
                <w:lang w:eastAsia="en-US"/>
              </w:rPr>
              <w:lastRenderedPageBreak/>
              <w:t>Закону України «Про управління об'єктами державної власності»</w:t>
            </w:r>
          </w:p>
        </w:tc>
      </w:tr>
      <w:tr w:rsidR="0076271D" w:rsidRPr="0095507C" w:rsidTr="004503FC">
        <w:trPr>
          <w:trHeight w:val="462"/>
        </w:trPr>
        <w:tc>
          <w:tcPr>
            <w:tcW w:w="7779" w:type="dxa"/>
          </w:tcPr>
          <w:p w:rsidR="008D6C4F" w:rsidRPr="0095507C" w:rsidRDefault="008D6C4F" w:rsidP="008D6C4F">
            <w:pPr>
              <w:jc w:val="center"/>
            </w:pPr>
            <w:r w:rsidRPr="0095507C">
              <w:t xml:space="preserve">Стаття </w:t>
            </w:r>
            <w:r w:rsidRPr="0095507C">
              <w:rPr>
                <w:rFonts w:eastAsia="Calibri"/>
                <w:lang w:eastAsia="en-US"/>
              </w:rPr>
              <w:t>11</w:t>
            </w:r>
            <w:r w:rsidRPr="0095507C">
              <w:rPr>
                <w:rFonts w:eastAsia="Calibri"/>
                <w:vertAlign w:val="superscript"/>
                <w:lang w:eastAsia="en-US"/>
              </w:rPr>
              <w:t>1</w:t>
            </w:r>
            <w:r w:rsidRPr="0095507C">
              <w:t xml:space="preserve"> Особливості відрахування державними підприємствами частини прибутку (доходу)</w:t>
            </w:r>
          </w:p>
          <w:p w:rsidR="008D6C4F" w:rsidRPr="0095507C" w:rsidRDefault="008D6C4F" w:rsidP="008D6C4F">
            <w:pPr>
              <w:jc w:val="both"/>
              <w:rPr>
                <w:rStyle w:val="rvts0"/>
              </w:rPr>
            </w:pPr>
            <w:r w:rsidRPr="0095507C">
              <w:rPr>
                <w:rStyle w:val="rvts0"/>
              </w:rPr>
              <w:t>…</w:t>
            </w:r>
          </w:p>
          <w:p w:rsidR="0076271D" w:rsidRPr="0095507C" w:rsidRDefault="008D6C4F" w:rsidP="008D6C4F">
            <w:pPr>
              <w:jc w:val="both"/>
              <w:rPr>
                <w:rStyle w:val="rvts0"/>
              </w:rPr>
            </w:pPr>
            <w:r w:rsidRPr="0095507C">
              <w:rPr>
                <w:rStyle w:val="rvts0"/>
              </w:rPr>
              <w:t xml:space="preserve">Чистий прибуток державних підприємств енергетичної галузі, з якого розраховується та сплачується частина чистого прибутку (доходу), зменшується на суму прибутку, яка виникла в результаті виконання законів України </w:t>
            </w:r>
            <w:hyperlink r:id="rId11" w:tgtFrame="_blank" w:history="1">
              <w:r w:rsidRPr="0095507C">
                <w:rPr>
                  <w:rStyle w:val="ab"/>
                  <w:color w:val="auto"/>
                  <w:u w:val="none"/>
                </w:rPr>
                <w:t>"Про внесення змін до Податкового кодексу України щодо питань оподаткування природного газу та електричної енергії"</w:t>
              </w:r>
            </w:hyperlink>
            <w:r w:rsidRPr="0095507C">
              <w:rPr>
                <w:rStyle w:val="rvts0"/>
              </w:rPr>
              <w:t xml:space="preserve">, </w:t>
            </w:r>
            <w:hyperlink r:id="rId12" w:tgtFrame="_blank" w:history="1">
              <w:r w:rsidRPr="0095507C">
                <w:rPr>
                  <w:rStyle w:val="ab"/>
                  <w:color w:val="auto"/>
                  <w:u w:val="none"/>
                </w:rPr>
                <w:t>"Про деякі питання заборгованості підприємств оборонно-промислового комплексу - учасників Державного концерну "Укроборонпром" та забезпечення їх стабільного розвитку"</w:t>
              </w:r>
            </w:hyperlink>
            <w:r w:rsidRPr="0095507C">
              <w:rPr>
                <w:rStyle w:val="rvts0"/>
              </w:rPr>
              <w:t xml:space="preserve"> та "Про внесення змін до Податкового кодексу України щодо оподаткування підприємств - учасників Державного концерну "Укроборонпром".</w:t>
            </w:r>
          </w:p>
          <w:p w:rsidR="008D6C4F" w:rsidRPr="0095507C" w:rsidRDefault="008D6C4F" w:rsidP="008D6C4F">
            <w:pPr>
              <w:jc w:val="both"/>
              <w:rPr>
                <w:rFonts w:eastAsia="Calibri"/>
                <w:lang w:eastAsia="en-US"/>
              </w:rPr>
            </w:pPr>
            <w:r w:rsidRPr="0095507C">
              <w:rPr>
                <w:rFonts w:eastAsia="Calibri"/>
                <w:lang w:eastAsia="en-US"/>
              </w:rPr>
              <w:t>…</w:t>
            </w:r>
          </w:p>
        </w:tc>
        <w:tc>
          <w:tcPr>
            <w:tcW w:w="7780" w:type="dxa"/>
          </w:tcPr>
          <w:p w:rsidR="0076271D" w:rsidRPr="0095507C" w:rsidRDefault="0076271D" w:rsidP="002C7C18">
            <w:pPr>
              <w:jc w:val="center"/>
            </w:pPr>
            <w:r w:rsidRPr="0095507C">
              <w:t xml:space="preserve">Стаття </w:t>
            </w:r>
            <w:r w:rsidRPr="0095507C">
              <w:rPr>
                <w:rFonts w:eastAsia="Calibri"/>
                <w:lang w:eastAsia="en-US"/>
              </w:rPr>
              <w:t>11</w:t>
            </w:r>
            <w:r w:rsidRPr="0095507C">
              <w:rPr>
                <w:rFonts w:eastAsia="Calibri"/>
                <w:vertAlign w:val="superscript"/>
                <w:lang w:eastAsia="en-US"/>
              </w:rPr>
              <w:t>1</w:t>
            </w:r>
            <w:r w:rsidRPr="0095507C">
              <w:t xml:space="preserve"> Особливості відрахування державними підприємствами частини прибутку (доходу)</w:t>
            </w:r>
          </w:p>
          <w:p w:rsidR="008D6C4F" w:rsidRPr="0095507C" w:rsidRDefault="008D6C4F" w:rsidP="008D6C4F">
            <w:pPr>
              <w:jc w:val="both"/>
            </w:pPr>
            <w:r w:rsidRPr="0095507C">
              <w:t>…</w:t>
            </w:r>
          </w:p>
          <w:p w:rsidR="008D6C4F" w:rsidRPr="0095507C" w:rsidRDefault="008D6C4F" w:rsidP="008D6C4F">
            <w:pPr>
              <w:jc w:val="both"/>
              <w:rPr>
                <w:rFonts w:eastAsia="Calibri"/>
                <w:lang w:eastAsia="en-US"/>
              </w:rPr>
            </w:pPr>
            <w:r w:rsidRPr="0095507C">
              <w:rPr>
                <w:rFonts w:eastAsia="Calibri"/>
                <w:lang w:eastAsia="en-US"/>
              </w:rPr>
              <w:t xml:space="preserve">Чистий прибуток державних підприємств енергетичної галузі, з якого розраховується та сплачується частина чистого прибутку (доходу), зменшується на суму прибутку, яка виникла в результаті виконання законів України </w:t>
            </w:r>
            <w:hyperlink r:id="rId13" w:tgtFrame="_blank" w:history="1">
              <w:r w:rsidRPr="0095507C">
                <w:rPr>
                  <w:rFonts w:eastAsia="Calibri"/>
                  <w:lang w:eastAsia="en-US"/>
                </w:rPr>
                <w:t>«Про внесення змін до Податкового кодексу України щодо питань оподаткування природного газу та електричної енергії</w:t>
              </w:r>
            </w:hyperlink>
            <w:r w:rsidRPr="0095507C">
              <w:rPr>
                <w:rFonts w:eastAsia="Calibri"/>
                <w:lang w:eastAsia="en-US"/>
              </w:rPr>
              <w:t xml:space="preserve">», </w:t>
            </w:r>
            <w:hyperlink r:id="rId14" w:tgtFrame="_blank" w:history="1">
              <w:r w:rsidRPr="0095507C">
                <w:rPr>
                  <w:rFonts w:eastAsia="Calibri"/>
                  <w:lang w:eastAsia="en-US"/>
                </w:rPr>
                <w:t>«Про деякі питання заборгованості підприємств оборонно-промислового комплексу - учасників Державного концерну «Укроборонпром» та забезпечення їх стабільного розвитку</w:t>
              </w:r>
            </w:hyperlink>
            <w:r w:rsidRPr="0095507C">
              <w:rPr>
                <w:rFonts w:eastAsia="Calibri"/>
                <w:lang w:eastAsia="en-US"/>
              </w:rPr>
              <w:t xml:space="preserve">», «Про внесення змін до Податкового кодексу України щодо оподаткування підприємств - учасників Державного концерну «Укроборонпром» та </w:t>
            </w:r>
            <w:r w:rsidRPr="0095507C">
              <w:rPr>
                <w:rFonts w:eastAsia="Calibri"/>
              </w:rPr>
              <w:t>«</w:t>
            </w:r>
            <w:r w:rsidRPr="0095507C">
              <w:rPr>
                <w:rFonts w:eastAsia="Calibri"/>
                <w:lang w:eastAsia="en-US"/>
              </w:rPr>
              <w:t>Про заходи, спрямовані на погашення заборгованості, що утворилася на оптовому ринку електричної енергії.</w:t>
            </w:r>
          </w:p>
          <w:p w:rsidR="008D6C4F" w:rsidRPr="0095507C" w:rsidRDefault="008D6C4F" w:rsidP="008D6C4F">
            <w:pPr>
              <w:jc w:val="both"/>
            </w:pPr>
            <w:r w:rsidRPr="0095507C">
              <w:t>…</w:t>
            </w:r>
          </w:p>
          <w:p w:rsidR="008D6C4F" w:rsidRPr="0095507C" w:rsidRDefault="008D6C4F" w:rsidP="002C7C18">
            <w:pPr>
              <w:jc w:val="center"/>
            </w:pPr>
          </w:p>
        </w:tc>
      </w:tr>
    </w:tbl>
    <w:p w:rsidR="003922BF" w:rsidRPr="0095507C" w:rsidRDefault="003922BF" w:rsidP="009D3861">
      <w:pPr>
        <w:rPr>
          <w:b/>
          <w:bCs/>
        </w:rPr>
      </w:pPr>
    </w:p>
    <w:p w:rsidR="00741271" w:rsidRPr="00741271" w:rsidRDefault="00662DD1" w:rsidP="009D3861">
      <w:pPr>
        <w:rPr>
          <w:b/>
        </w:rPr>
      </w:pPr>
      <w:r>
        <w:rPr>
          <w:b/>
        </w:rPr>
        <w:t>Народний депутат України</w:t>
      </w:r>
      <w:r w:rsidR="00741271">
        <w:rPr>
          <w:b/>
          <w:lang w:val="en-US"/>
        </w:rPr>
        <w:t xml:space="preserve"> </w:t>
      </w:r>
      <w:r w:rsidR="00741271">
        <w:rPr>
          <w:b/>
          <w:lang w:val="en-US"/>
        </w:rPr>
        <w:tab/>
      </w:r>
      <w:r w:rsidR="00741271">
        <w:rPr>
          <w:b/>
          <w:lang w:val="en-US"/>
        </w:rPr>
        <w:tab/>
      </w:r>
      <w:r w:rsidR="00741271">
        <w:rPr>
          <w:b/>
          <w:lang w:val="en-US"/>
        </w:rPr>
        <w:tab/>
      </w:r>
      <w:r w:rsidR="00741271">
        <w:rPr>
          <w:b/>
          <w:lang w:val="en-US"/>
        </w:rPr>
        <w:tab/>
      </w:r>
      <w:r w:rsidR="00741271">
        <w:rPr>
          <w:b/>
          <w:lang w:val="en-US"/>
        </w:rPr>
        <w:tab/>
      </w:r>
      <w:r w:rsidR="00741271">
        <w:rPr>
          <w:b/>
          <w:lang w:val="en-US"/>
        </w:rPr>
        <w:tab/>
      </w:r>
      <w:r w:rsidR="00741271">
        <w:rPr>
          <w:b/>
          <w:lang w:val="en-US"/>
        </w:rPr>
        <w:tab/>
      </w:r>
      <w:r w:rsidR="00741271">
        <w:rPr>
          <w:b/>
          <w:lang w:val="en-US"/>
        </w:rPr>
        <w:tab/>
      </w:r>
      <w:r w:rsidR="00741271">
        <w:rPr>
          <w:b/>
          <w:lang w:val="en-US"/>
        </w:rPr>
        <w:tab/>
      </w:r>
      <w:r w:rsidR="00741271">
        <w:rPr>
          <w:b/>
          <w:lang w:val="en-US"/>
        </w:rPr>
        <w:tab/>
      </w:r>
      <w:r w:rsidR="00741271">
        <w:rPr>
          <w:b/>
          <w:lang w:val="en-US"/>
        </w:rPr>
        <w:tab/>
      </w:r>
      <w:r w:rsidR="00741271">
        <w:rPr>
          <w:b/>
          <w:lang w:val="en-US"/>
        </w:rPr>
        <w:tab/>
      </w:r>
      <w:r w:rsidR="00741271">
        <w:rPr>
          <w:b/>
          <w:lang w:val="en-US"/>
        </w:rPr>
        <w:tab/>
      </w:r>
      <w:bookmarkStart w:id="1" w:name="_GoBack"/>
      <w:bookmarkEnd w:id="1"/>
      <w:r w:rsidR="00741271">
        <w:rPr>
          <w:b/>
          <w:bCs/>
          <w:lang w:eastAsia="ru-RU"/>
        </w:rPr>
        <w:t>Камельчук Ю.О.</w:t>
      </w:r>
    </w:p>
    <w:sectPr w:rsidR="00741271" w:rsidRPr="00741271" w:rsidSect="007013DB">
      <w:headerReference w:type="even" r:id="rId15"/>
      <w:headerReference w:type="default" r:id="rId16"/>
      <w:pgSz w:w="16838" w:h="11906" w:orient="landscape"/>
      <w:pgMar w:top="851" w:right="1134" w:bottom="851"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39E" w:rsidRDefault="007D539E" w:rsidP="00514CF5">
      <w:r>
        <w:separator/>
      </w:r>
    </w:p>
  </w:endnote>
  <w:endnote w:type="continuationSeparator" w:id="0">
    <w:p w:rsidR="007D539E" w:rsidRDefault="007D539E" w:rsidP="00514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39E" w:rsidRDefault="007D539E" w:rsidP="00514CF5">
      <w:r>
        <w:separator/>
      </w:r>
    </w:p>
  </w:footnote>
  <w:footnote w:type="continuationSeparator" w:id="0">
    <w:p w:rsidR="007D539E" w:rsidRDefault="007D539E" w:rsidP="00514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2BF" w:rsidRDefault="003922BF" w:rsidP="002330D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3922BF" w:rsidRDefault="003922B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2BF" w:rsidRDefault="003922BF" w:rsidP="002330D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41271">
      <w:rPr>
        <w:rStyle w:val="a6"/>
        <w:noProof/>
      </w:rPr>
      <w:t>2</w:t>
    </w:r>
    <w:r>
      <w:rPr>
        <w:rStyle w:val="a6"/>
      </w:rPr>
      <w:fldChar w:fldCharType="end"/>
    </w:r>
  </w:p>
  <w:p w:rsidR="003922BF" w:rsidRDefault="003922B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B7093"/>
    <w:multiLevelType w:val="hybridMultilevel"/>
    <w:tmpl w:val="259E7C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F0B164F"/>
    <w:multiLevelType w:val="hybridMultilevel"/>
    <w:tmpl w:val="45F685C0"/>
    <w:lvl w:ilvl="0" w:tplc="1A241858">
      <w:start w:val="1"/>
      <w:numFmt w:val="decimal"/>
      <w:lvlText w:val="%1."/>
      <w:lvlJc w:val="left"/>
      <w:pPr>
        <w:ind w:left="720" w:hanging="360"/>
      </w:pPr>
      <w:rPr>
        <w:rFonts w:cs="Segoe UI" w:hint="default"/>
        <w:b w:val="0"/>
        <w:color w:val="292B2C"/>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0CE24C2"/>
    <w:multiLevelType w:val="hybridMultilevel"/>
    <w:tmpl w:val="63CC05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4417AC9"/>
    <w:multiLevelType w:val="hybridMultilevel"/>
    <w:tmpl w:val="975051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14805A5"/>
    <w:multiLevelType w:val="hybridMultilevel"/>
    <w:tmpl w:val="46FA37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A6B7E35"/>
    <w:multiLevelType w:val="hybridMultilevel"/>
    <w:tmpl w:val="0AC819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5106FB8"/>
    <w:multiLevelType w:val="hybridMultilevel"/>
    <w:tmpl w:val="6E40F6A0"/>
    <w:lvl w:ilvl="0" w:tplc="EEAA91CA">
      <w:start w:val="1"/>
      <w:numFmt w:val="decimal"/>
      <w:lvlText w:val="%1."/>
      <w:lvlJc w:val="left"/>
      <w:pPr>
        <w:ind w:left="656" w:hanging="360"/>
      </w:pPr>
      <w:rPr>
        <w:rFonts w:hint="default"/>
      </w:rPr>
    </w:lvl>
    <w:lvl w:ilvl="1" w:tplc="04220019" w:tentative="1">
      <w:start w:val="1"/>
      <w:numFmt w:val="lowerLetter"/>
      <w:lvlText w:val="%2."/>
      <w:lvlJc w:val="left"/>
      <w:pPr>
        <w:ind w:left="1376" w:hanging="360"/>
      </w:pPr>
    </w:lvl>
    <w:lvl w:ilvl="2" w:tplc="0422001B" w:tentative="1">
      <w:start w:val="1"/>
      <w:numFmt w:val="lowerRoman"/>
      <w:lvlText w:val="%3."/>
      <w:lvlJc w:val="right"/>
      <w:pPr>
        <w:ind w:left="2096" w:hanging="180"/>
      </w:pPr>
    </w:lvl>
    <w:lvl w:ilvl="3" w:tplc="0422000F" w:tentative="1">
      <w:start w:val="1"/>
      <w:numFmt w:val="decimal"/>
      <w:lvlText w:val="%4."/>
      <w:lvlJc w:val="left"/>
      <w:pPr>
        <w:ind w:left="2816" w:hanging="360"/>
      </w:pPr>
    </w:lvl>
    <w:lvl w:ilvl="4" w:tplc="04220019" w:tentative="1">
      <w:start w:val="1"/>
      <w:numFmt w:val="lowerLetter"/>
      <w:lvlText w:val="%5."/>
      <w:lvlJc w:val="left"/>
      <w:pPr>
        <w:ind w:left="3536" w:hanging="360"/>
      </w:pPr>
    </w:lvl>
    <w:lvl w:ilvl="5" w:tplc="0422001B" w:tentative="1">
      <w:start w:val="1"/>
      <w:numFmt w:val="lowerRoman"/>
      <w:lvlText w:val="%6."/>
      <w:lvlJc w:val="right"/>
      <w:pPr>
        <w:ind w:left="4256" w:hanging="180"/>
      </w:pPr>
    </w:lvl>
    <w:lvl w:ilvl="6" w:tplc="0422000F" w:tentative="1">
      <w:start w:val="1"/>
      <w:numFmt w:val="decimal"/>
      <w:lvlText w:val="%7."/>
      <w:lvlJc w:val="left"/>
      <w:pPr>
        <w:ind w:left="4976" w:hanging="360"/>
      </w:pPr>
    </w:lvl>
    <w:lvl w:ilvl="7" w:tplc="04220019" w:tentative="1">
      <w:start w:val="1"/>
      <w:numFmt w:val="lowerLetter"/>
      <w:lvlText w:val="%8."/>
      <w:lvlJc w:val="left"/>
      <w:pPr>
        <w:ind w:left="5696" w:hanging="360"/>
      </w:pPr>
    </w:lvl>
    <w:lvl w:ilvl="8" w:tplc="0422001B" w:tentative="1">
      <w:start w:val="1"/>
      <w:numFmt w:val="lowerRoman"/>
      <w:lvlText w:val="%9."/>
      <w:lvlJc w:val="right"/>
      <w:pPr>
        <w:ind w:left="6416" w:hanging="180"/>
      </w:pPr>
    </w:lvl>
  </w:abstractNum>
  <w:num w:numId="1">
    <w:abstractNumId w:val="3"/>
  </w:num>
  <w:num w:numId="2">
    <w:abstractNumId w:val="5"/>
  </w:num>
  <w:num w:numId="3">
    <w:abstractNumId w:val="1"/>
  </w:num>
  <w:num w:numId="4">
    <w:abstractNumId w:val="4"/>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0D7"/>
    <w:rsid w:val="000036D9"/>
    <w:rsid w:val="00006554"/>
    <w:rsid w:val="0002027B"/>
    <w:rsid w:val="00021EA1"/>
    <w:rsid w:val="00025E4B"/>
    <w:rsid w:val="00030858"/>
    <w:rsid w:val="0003295C"/>
    <w:rsid w:val="00066733"/>
    <w:rsid w:val="00066E2C"/>
    <w:rsid w:val="000807C5"/>
    <w:rsid w:val="0008174F"/>
    <w:rsid w:val="000A6E9E"/>
    <w:rsid w:val="000B3B3A"/>
    <w:rsid w:val="000F385F"/>
    <w:rsid w:val="00104653"/>
    <w:rsid w:val="00105E2A"/>
    <w:rsid w:val="00120B93"/>
    <w:rsid w:val="001408FB"/>
    <w:rsid w:val="00161BE9"/>
    <w:rsid w:val="00161E6C"/>
    <w:rsid w:val="00173770"/>
    <w:rsid w:val="001B01B4"/>
    <w:rsid w:val="001D2DDE"/>
    <w:rsid w:val="00215148"/>
    <w:rsid w:val="002170A2"/>
    <w:rsid w:val="00224D2F"/>
    <w:rsid w:val="00227D56"/>
    <w:rsid w:val="002330D7"/>
    <w:rsid w:val="00243740"/>
    <w:rsid w:val="00255AA6"/>
    <w:rsid w:val="002870AC"/>
    <w:rsid w:val="00290A22"/>
    <w:rsid w:val="00295836"/>
    <w:rsid w:val="002B0BAA"/>
    <w:rsid w:val="002B12A7"/>
    <w:rsid w:val="002C2D39"/>
    <w:rsid w:val="002C7C18"/>
    <w:rsid w:val="002D7659"/>
    <w:rsid w:val="002F6977"/>
    <w:rsid w:val="003123C0"/>
    <w:rsid w:val="0031454E"/>
    <w:rsid w:val="0032124B"/>
    <w:rsid w:val="003427A6"/>
    <w:rsid w:val="0034312F"/>
    <w:rsid w:val="00350C00"/>
    <w:rsid w:val="0035351F"/>
    <w:rsid w:val="003555BF"/>
    <w:rsid w:val="003602F9"/>
    <w:rsid w:val="00366CBD"/>
    <w:rsid w:val="0037292D"/>
    <w:rsid w:val="00383291"/>
    <w:rsid w:val="003901E8"/>
    <w:rsid w:val="003922BF"/>
    <w:rsid w:val="003D7652"/>
    <w:rsid w:val="003F021C"/>
    <w:rsid w:val="003F2843"/>
    <w:rsid w:val="003F5DBC"/>
    <w:rsid w:val="00410A26"/>
    <w:rsid w:val="00421CCD"/>
    <w:rsid w:val="0042709C"/>
    <w:rsid w:val="00430259"/>
    <w:rsid w:val="004503FC"/>
    <w:rsid w:val="0045654F"/>
    <w:rsid w:val="00456BF1"/>
    <w:rsid w:val="004B3D65"/>
    <w:rsid w:val="004B53D2"/>
    <w:rsid w:val="004D1FB7"/>
    <w:rsid w:val="004D483F"/>
    <w:rsid w:val="004F3728"/>
    <w:rsid w:val="004F6D71"/>
    <w:rsid w:val="004F7AF7"/>
    <w:rsid w:val="00514CF5"/>
    <w:rsid w:val="0052057F"/>
    <w:rsid w:val="005240B4"/>
    <w:rsid w:val="005347E5"/>
    <w:rsid w:val="00553798"/>
    <w:rsid w:val="00561257"/>
    <w:rsid w:val="00563F7C"/>
    <w:rsid w:val="00574E90"/>
    <w:rsid w:val="00577C58"/>
    <w:rsid w:val="005C5F57"/>
    <w:rsid w:val="005F204A"/>
    <w:rsid w:val="006073DD"/>
    <w:rsid w:val="0061619E"/>
    <w:rsid w:val="006245EB"/>
    <w:rsid w:val="006409AF"/>
    <w:rsid w:val="00660E0F"/>
    <w:rsid w:val="00662DD1"/>
    <w:rsid w:val="00673F9E"/>
    <w:rsid w:val="006C5C56"/>
    <w:rsid w:val="006D14F6"/>
    <w:rsid w:val="006E1721"/>
    <w:rsid w:val="007013DB"/>
    <w:rsid w:val="007108AF"/>
    <w:rsid w:val="0072378C"/>
    <w:rsid w:val="00725865"/>
    <w:rsid w:val="0074019E"/>
    <w:rsid w:val="00740D6A"/>
    <w:rsid w:val="00741271"/>
    <w:rsid w:val="00751876"/>
    <w:rsid w:val="007601FC"/>
    <w:rsid w:val="0076271D"/>
    <w:rsid w:val="00772CD4"/>
    <w:rsid w:val="007914C1"/>
    <w:rsid w:val="007B7C30"/>
    <w:rsid w:val="007D31C2"/>
    <w:rsid w:val="007D539E"/>
    <w:rsid w:val="007E0AD7"/>
    <w:rsid w:val="007E60CA"/>
    <w:rsid w:val="007E64BB"/>
    <w:rsid w:val="007F3438"/>
    <w:rsid w:val="00807BB7"/>
    <w:rsid w:val="00813ECF"/>
    <w:rsid w:val="0081577A"/>
    <w:rsid w:val="008450A3"/>
    <w:rsid w:val="00862030"/>
    <w:rsid w:val="008648A0"/>
    <w:rsid w:val="00872903"/>
    <w:rsid w:val="0087388B"/>
    <w:rsid w:val="008742BF"/>
    <w:rsid w:val="008C1F01"/>
    <w:rsid w:val="008C7121"/>
    <w:rsid w:val="008D530C"/>
    <w:rsid w:val="008D6C4F"/>
    <w:rsid w:val="008D7889"/>
    <w:rsid w:val="00906CBB"/>
    <w:rsid w:val="009171C0"/>
    <w:rsid w:val="00921BDB"/>
    <w:rsid w:val="00932102"/>
    <w:rsid w:val="0093227A"/>
    <w:rsid w:val="00943A21"/>
    <w:rsid w:val="0095507C"/>
    <w:rsid w:val="00985576"/>
    <w:rsid w:val="009857B7"/>
    <w:rsid w:val="00992E6A"/>
    <w:rsid w:val="0099529F"/>
    <w:rsid w:val="009A00E2"/>
    <w:rsid w:val="009A4117"/>
    <w:rsid w:val="009A458A"/>
    <w:rsid w:val="009A5F45"/>
    <w:rsid w:val="009B5908"/>
    <w:rsid w:val="009C2B7D"/>
    <w:rsid w:val="009D3861"/>
    <w:rsid w:val="009E1979"/>
    <w:rsid w:val="009E3BAB"/>
    <w:rsid w:val="009E4C79"/>
    <w:rsid w:val="009F5898"/>
    <w:rsid w:val="00A067AB"/>
    <w:rsid w:val="00A12C2F"/>
    <w:rsid w:val="00A2474C"/>
    <w:rsid w:val="00A272EE"/>
    <w:rsid w:val="00A4383E"/>
    <w:rsid w:val="00A471E4"/>
    <w:rsid w:val="00A50977"/>
    <w:rsid w:val="00A65017"/>
    <w:rsid w:val="00A94FED"/>
    <w:rsid w:val="00AA0113"/>
    <w:rsid w:val="00AC4732"/>
    <w:rsid w:val="00AE2394"/>
    <w:rsid w:val="00AE3F29"/>
    <w:rsid w:val="00AE46E0"/>
    <w:rsid w:val="00AF27A0"/>
    <w:rsid w:val="00B27EED"/>
    <w:rsid w:val="00B31901"/>
    <w:rsid w:val="00B562C4"/>
    <w:rsid w:val="00B76F84"/>
    <w:rsid w:val="00B77729"/>
    <w:rsid w:val="00BA08AD"/>
    <w:rsid w:val="00BC6A60"/>
    <w:rsid w:val="00BE3A0C"/>
    <w:rsid w:val="00C17D4C"/>
    <w:rsid w:val="00C46156"/>
    <w:rsid w:val="00C50EA3"/>
    <w:rsid w:val="00C52587"/>
    <w:rsid w:val="00C62467"/>
    <w:rsid w:val="00C92E2A"/>
    <w:rsid w:val="00CB149F"/>
    <w:rsid w:val="00CB38CA"/>
    <w:rsid w:val="00CD2629"/>
    <w:rsid w:val="00CD55A5"/>
    <w:rsid w:val="00CD585F"/>
    <w:rsid w:val="00CD766A"/>
    <w:rsid w:val="00D128D1"/>
    <w:rsid w:val="00D27F7E"/>
    <w:rsid w:val="00D407FC"/>
    <w:rsid w:val="00D74CB6"/>
    <w:rsid w:val="00D814C8"/>
    <w:rsid w:val="00D9003C"/>
    <w:rsid w:val="00D9017E"/>
    <w:rsid w:val="00D977BF"/>
    <w:rsid w:val="00DA21CD"/>
    <w:rsid w:val="00DA74F8"/>
    <w:rsid w:val="00DC12AC"/>
    <w:rsid w:val="00DD6EFC"/>
    <w:rsid w:val="00DE7597"/>
    <w:rsid w:val="00DF63D3"/>
    <w:rsid w:val="00E03102"/>
    <w:rsid w:val="00E03AC1"/>
    <w:rsid w:val="00E17647"/>
    <w:rsid w:val="00E2715C"/>
    <w:rsid w:val="00E40AC1"/>
    <w:rsid w:val="00E517E0"/>
    <w:rsid w:val="00E52DC9"/>
    <w:rsid w:val="00E60AF9"/>
    <w:rsid w:val="00E6121A"/>
    <w:rsid w:val="00E61CE2"/>
    <w:rsid w:val="00E85D94"/>
    <w:rsid w:val="00E94F89"/>
    <w:rsid w:val="00EA791A"/>
    <w:rsid w:val="00EB0E41"/>
    <w:rsid w:val="00EB6558"/>
    <w:rsid w:val="00EC3652"/>
    <w:rsid w:val="00EC6B50"/>
    <w:rsid w:val="00EC762C"/>
    <w:rsid w:val="00F05EFE"/>
    <w:rsid w:val="00F15263"/>
    <w:rsid w:val="00F266B3"/>
    <w:rsid w:val="00F53E6B"/>
    <w:rsid w:val="00F54CF8"/>
    <w:rsid w:val="00F55CD2"/>
    <w:rsid w:val="00F745B2"/>
    <w:rsid w:val="00F80F31"/>
    <w:rsid w:val="00F83B2D"/>
    <w:rsid w:val="00FB09B6"/>
    <w:rsid w:val="00FB7202"/>
    <w:rsid w:val="00FD22B3"/>
    <w:rsid w:val="00FD3174"/>
    <w:rsid w:val="00FD4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AF0DE76-E162-44ED-A9A7-BE530873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BAB"/>
    <w:rPr>
      <w:rFonts w:ascii="Times New Roman" w:hAnsi="Times New Roman" w:cs="Times New Roman"/>
      <w:sz w:val="28"/>
      <w:szCs w:val="28"/>
    </w:rPr>
  </w:style>
  <w:style w:type="paragraph" w:styleId="2">
    <w:name w:val="heading 2"/>
    <w:basedOn w:val="a"/>
    <w:next w:val="a"/>
    <w:link w:val="20"/>
    <w:uiPriority w:val="99"/>
    <w:qFormat/>
    <w:rsid w:val="00E61CE2"/>
    <w:pPr>
      <w:keepNext/>
      <w:shd w:val="clear" w:color="auto" w:fill="FFFFFF"/>
      <w:autoSpaceDE w:val="0"/>
      <w:autoSpaceDN w:val="0"/>
      <w:ind w:left="782"/>
      <w:outlineLvl w:val="1"/>
    </w:pPr>
    <w:rPr>
      <w:b/>
      <w:bCs/>
      <w:spacing w:val="-5"/>
      <w:sz w:val="25"/>
      <w:szCs w:val="25"/>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E61CE2"/>
    <w:rPr>
      <w:rFonts w:ascii="Times New Roman" w:hAnsi="Times New Roman" w:cs="Times New Roman"/>
      <w:b/>
      <w:spacing w:val="-5"/>
      <w:sz w:val="25"/>
      <w:shd w:val="clear" w:color="auto" w:fill="FFFFFF"/>
      <w:lang w:val="uk-UA"/>
    </w:rPr>
  </w:style>
  <w:style w:type="paragraph" w:styleId="a3">
    <w:name w:val="Normal (Web)"/>
    <w:basedOn w:val="a"/>
    <w:uiPriority w:val="99"/>
    <w:rsid w:val="00E61CE2"/>
    <w:pPr>
      <w:spacing w:before="100" w:beforeAutospacing="1" w:after="100" w:afterAutospacing="1"/>
    </w:pPr>
    <w:rPr>
      <w:sz w:val="24"/>
      <w:szCs w:val="24"/>
      <w:lang w:val="ru-RU" w:eastAsia="ru-RU"/>
    </w:rPr>
  </w:style>
  <w:style w:type="paragraph" w:styleId="HTML">
    <w:name w:val="HTML Preformatted"/>
    <w:basedOn w:val="a"/>
    <w:link w:val="HTML0"/>
    <w:uiPriority w:val="99"/>
    <w:rsid w:val="00233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uiPriority w:val="99"/>
    <w:locked/>
    <w:rsid w:val="002330D7"/>
    <w:rPr>
      <w:rFonts w:ascii="Courier New" w:hAnsi="Courier New" w:cs="Times New Roman"/>
      <w:sz w:val="20"/>
      <w:lang w:val="uk-UA" w:eastAsia="uk-UA"/>
    </w:rPr>
  </w:style>
  <w:style w:type="paragraph" w:styleId="a4">
    <w:name w:val="header"/>
    <w:basedOn w:val="a"/>
    <w:link w:val="a5"/>
    <w:uiPriority w:val="99"/>
    <w:rsid w:val="002330D7"/>
    <w:pPr>
      <w:tabs>
        <w:tab w:val="center" w:pos="4819"/>
        <w:tab w:val="right" w:pos="9639"/>
      </w:tabs>
    </w:pPr>
    <w:rPr>
      <w:szCs w:val="20"/>
    </w:rPr>
  </w:style>
  <w:style w:type="character" w:customStyle="1" w:styleId="a5">
    <w:name w:val="Верхній колонтитул Знак"/>
    <w:link w:val="a4"/>
    <w:uiPriority w:val="99"/>
    <w:locked/>
    <w:rsid w:val="002330D7"/>
    <w:rPr>
      <w:rFonts w:ascii="Times New Roman" w:hAnsi="Times New Roman" w:cs="Times New Roman"/>
      <w:sz w:val="28"/>
      <w:lang w:val="uk-UA" w:eastAsia="uk-UA"/>
    </w:rPr>
  </w:style>
  <w:style w:type="character" w:styleId="a6">
    <w:name w:val="page number"/>
    <w:uiPriority w:val="99"/>
    <w:rsid w:val="002330D7"/>
    <w:rPr>
      <w:rFonts w:cs="Times New Roman"/>
    </w:rPr>
  </w:style>
  <w:style w:type="paragraph" w:customStyle="1" w:styleId="rvps2">
    <w:name w:val="rvps2"/>
    <w:basedOn w:val="a"/>
    <w:uiPriority w:val="99"/>
    <w:rsid w:val="002330D7"/>
    <w:pPr>
      <w:spacing w:before="100" w:beforeAutospacing="1" w:after="100" w:afterAutospacing="1"/>
    </w:pPr>
    <w:rPr>
      <w:color w:val="000000"/>
      <w:sz w:val="24"/>
      <w:szCs w:val="24"/>
      <w:lang w:val="ru-RU" w:eastAsia="ru-RU"/>
    </w:rPr>
  </w:style>
  <w:style w:type="character" w:customStyle="1" w:styleId="a7">
    <w:name w:val="Основной текст + Курсив"/>
    <w:aliases w:val="Интервал 0 pt"/>
    <w:uiPriority w:val="99"/>
    <w:rsid w:val="003901E8"/>
    <w:rPr>
      <w:i/>
      <w:spacing w:val="0"/>
      <w:sz w:val="25"/>
    </w:rPr>
  </w:style>
  <w:style w:type="paragraph" w:customStyle="1" w:styleId="a8">
    <w:name w:val="Нормальний текст"/>
    <w:basedOn w:val="a"/>
    <w:uiPriority w:val="99"/>
    <w:rsid w:val="00E61CE2"/>
    <w:pPr>
      <w:spacing w:before="120"/>
      <w:ind w:firstLine="567"/>
      <w:jc w:val="both"/>
    </w:pPr>
    <w:rPr>
      <w:rFonts w:ascii="Antiqua" w:hAnsi="Antiqua"/>
      <w:sz w:val="26"/>
      <w:szCs w:val="20"/>
      <w:lang w:eastAsia="ru-RU"/>
    </w:rPr>
  </w:style>
  <w:style w:type="paragraph" w:styleId="a9">
    <w:name w:val="Balloon Text"/>
    <w:basedOn w:val="a"/>
    <w:link w:val="aa"/>
    <w:uiPriority w:val="99"/>
    <w:semiHidden/>
    <w:rsid w:val="00751876"/>
    <w:rPr>
      <w:rFonts w:ascii="Tahoma" w:hAnsi="Tahoma" w:cs="Tahoma"/>
      <w:sz w:val="16"/>
      <w:szCs w:val="16"/>
    </w:rPr>
  </w:style>
  <w:style w:type="character" w:customStyle="1" w:styleId="aa">
    <w:name w:val="Текст у виносці Знак"/>
    <w:link w:val="a9"/>
    <w:uiPriority w:val="99"/>
    <w:semiHidden/>
    <w:locked/>
    <w:rsid w:val="00751876"/>
    <w:rPr>
      <w:rFonts w:ascii="Tahoma" w:hAnsi="Tahoma" w:cs="Times New Roman"/>
      <w:sz w:val="16"/>
      <w:lang w:val="uk-UA" w:eastAsia="uk-UA"/>
    </w:rPr>
  </w:style>
  <w:style w:type="character" w:styleId="ab">
    <w:name w:val="Hyperlink"/>
    <w:uiPriority w:val="99"/>
    <w:rsid w:val="006D14F6"/>
    <w:rPr>
      <w:rFonts w:cs="Times New Roman"/>
      <w:color w:val="0000FF"/>
      <w:u w:val="single"/>
    </w:rPr>
  </w:style>
  <w:style w:type="character" w:customStyle="1" w:styleId="rvts9">
    <w:name w:val="rvts9"/>
    <w:uiPriority w:val="99"/>
    <w:rsid w:val="009E3BAB"/>
    <w:rPr>
      <w:rFonts w:cs="Times New Roman"/>
    </w:rPr>
  </w:style>
  <w:style w:type="character" w:customStyle="1" w:styleId="rvts0">
    <w:name w:val="rvts0"/>
    <w:rsid w:val="002151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017110">
      <w:marLeft w:val="0"/>
      <w:marRight w:val="0"/>
      <w:marTop w:val="0"/>
      <w:marBottom w:val="0"/>
      <w:divBdr>
        <w:top w:val="none" w:sz="0" w:space="0" w:color="auto"/>
        <w:left w:val="none" w:sz="0" w:space="0" w:color="auto"/>
        <w:bottom w:val="none" w:sz="0" w:space="0" w:color="auto"/>
        <w:right w:val="none" w:sz="0" w:space="0" w:color="auto"/>
      </w:divBdr>
      <w:divsChild>
        <w:div w:id="718017108">
          <w:marLeft w:val="0"/>
          <w:marRight w:val="0"/>
          <w:marTop w:val="0"/>
          <w:marBottom w:val="0"/>
          <w:divBdr>
            <w:top w:val="none" w:sz="0" w:space="0" w:color="auto"/>
            <w:left w:val="none" w:sz="0" w:space="0" w:color="auto"/>
            <w:bottom w:val="none" w:sz="0" w:space="0" w:color="auto"/>
            <w:right w:val="none" w:sz="0" w:space="0" w:color="auto"/>
          </w:divBdr>
          <w:divsChild>
            <w:div w:id="71801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017112">
      <w:marLeft w:val="0"/>
      <w:marRight w:val="0"/>
      <w:marTop w:val="0"/>
      <w:marBottom w:val="0"/>
      <w:divBdr>
        <w:top w:val="none" w:sz="0" w:space="0" w:color="auto"/>
        <w:left w:val="none" w:sz="0" w:space="0" w:color="auto"/>
        <w:bottom w:val="none" w:sz="0" w:space="0" w:color="auto"/>
        <w:right w:val="none" w:sz="0" w:space="0" w:color="auto"/>
      </w:divBdr>
      <w:divsChild>
        <w:div w:id="718017109">
          <w:marLeft w:val="0"/>
          <w:marRight w:val="0"/>
          <w:marTop w:val="0"/>
          <w:marBottom w:val="0"/>
          <w:divBdr>
            <w:top w:val="none" w:sz="0" w:space="0" w:color="auto"/>
            <w:left w:val="none" w:sz="0" w:space="0" w:color="auto"/>
            <w:bottom w:val="none" w:sz="0" w:space="0" w:color="auto"/>
            <w:right w:val="none" w:sz="0" w:space="0" w:color="auto"/>
          </w:divBdr>
          <w:divsChild>
            <w:div w:id="71801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017113">
      <w:marLeft w:val="0"/>
      <w:marRight w:val="0"/>
      <w:marTop w:val="0"/>
      <w:marBottom w:val="0"/>
      <w:divBdr>
        <w:top w:val="none" w:sz="0" w:space="0" w:color="auto"/>
        <w:left w:val="none" w:sz="0" w:space="0" w:color="auto"/>
        <w:bottom w:val="none" w:sz="0" w:space="0" w:color="auto"/>
        <w:right w:val="none" w:sz="0" w:space="0" w:color="auto"/>
      </w:divBdr>
      <w:divsChild>
        <w:div w:id="718017104">
          <w:marLeft w:val="0"/>
          <w:marRight w:val="0"/>
          <w:marTop w:val="0"/>
          <w:marBottom w:val="0"/>
          <w:divBdr>
            <w:top w:val="none" w:sz="0" w:space="0" w:color="auto"/>
            <w:left w:val="none" w:sz="0" w:space="0" w:color="auto"/>
            <w:bottom w:val="none" w:sz="0" w:space="0" w:color="auto"/>
            <w:right w:val="none" w:sz="0" w:space="0" w:color="auto"/>
          </w:divBdr>
          <w:divsChild>
            <w:div w:id="71801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017115">
      <w:marLeft w:val="0"/>
      <w:marRight w:val="0"/>
      <w:marTop w:val="0"/>
      <w:marBottom w:val="0"/>
      <w:divBdr>
        <w:top w:val="none" w:sz="0" w:space="0" w:color="auto"/>
        <w:left w:val="none" w:sz="0" w:space="0" w:color="auto"/>
        <w:bottom w:val="none" w:sz="0" w:space="0" w:color="auto"/>
        <w:right w:val="none" w:sz="0" w:space="0" w:color="auto"/>
      </w:divBdr>
      <w:divsChild>
        <w:div w:id="718017107">
          <w:marLeft w:val="0"/>
          <w:marRight w:val="0"/>
          <w:marTop w:val="0"/>
          <w:marBottom w:val="0"/>
          <w:divBdr>
            <w:top w:val="none" w:sz="0" w:space="0" w:color="auto"/>
            <w:left w:val="none" w:sz="0" w:space="0" w:color="auto"/>
            <w:bottom w:val="none" w:sz="0" w:space="0" w:color="auto"/>
            <w:right w:val="none" w:sz="0" w:space="0" w:color="auto"/>
          </w:divBdr>
          <w:divsChild>
            <w:div w:id="71801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913701">
      <w:bodyDiv w:val="1"/>
      <w:marLeft w:val="0"/>
      <w:marRight w:val="0"/>
      <w:marTop w:val="0"/>
      <w:marBottom w:val="0"/>
      <w:divBdr>
        <w:top w:val="none" w:sz="0" w:space="0" w:color="auto"/>
        <w:left w:val="none" w:sz="0" w:space="0" w:color="auto"/>
        <w:bottom w:val="none" w:sz="0" w:space="0" w:color="auto"/>
        <w:right w:val="none" w:sz="0" w:space="0" w:color="auto"/>
      </w:divBdr>
    </w:div>
    <w:div w:id="183128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4-19" TargetMode="External"/><Relationship Id="rId13" Type="http://schemas.openxmlformats.org/officeDocument/2006/relationships/hyperlink" Target="https://zakon.rada.gov.ua/laws/show/3320-1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2711-15" TargetMode="External"/><Relationship Id="rId12" Type="http://schemas.openxmlformats.org/officeDocument/2006/relationships/hyperlink" Target="https://zakon.rada.gov.ua/laws/show/5213-1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320-17"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zakon.rada.gov.ua/laws/show/1404-19" TargetMode="External"/><Relationship Id="rId4" Type="http://schemas.openxmlformats.org/officeDocument/2006/relationships/webSettings" Target="webSettings.xml"/><Relationship Id="rId9" Type="http://schemas.openxmlformats.org/officeDocument/2006/relationships/hyperlink" Target="https://zakon.rada.gov.ua/laws/show/2711-15" TargetMode="External"/><Relationship Id="rId14" Type="http://schemas.openxmlformats.org/officeDocument/2006/relationships/hyperlink" Target="https://zakon.rada.gov.ua/laws/show/5213-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2703</Words>
  <Characters>1542</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ПОРІВНЯЛЬНА ТАБЛИЦЯ</vt:lpstr>
    </vt:vector>
  </TitlesOfParts>
  <Company/>
  <LinksUpToDate>false</LinksUpToDate>
  <CharactersWithSpaces>4237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ignatova</dc:creator>
  <cp:keywords/>
  <dc:description/>
  <cp:lastModifiedBy>Камельчук Юрій Олександрович</cp:lastModifiedBy>
  <cp:revision>23</cp:revision>
  <cp:lastPrinted>2019-10-03T11:20:00Z</cp:lastPrinted>
  <dcterms:created xsi:type="dcterms:W3CDTF">2018-01-18T19:19:00Z</dcterms:created>
  <dcterms:modified xsi:type="dcterms:W3CDTF">2019-11-06T12:09:00Z</dcterms:modified>
</cp:coreProperties>
</file>