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F4" w:rsidRPr="00BE436D" w:rsidRDefault="002B42F4" w:rsidP="00F232D8">
      <w:pPr>
        <w:jc w:val="center"/>
        <w:rPr>
          <w:b/>
          <w:bCs/>
          <w:spacing w:val="-4"/>
          <w:sz w:val="28"/>
          <w:szCs w:val="28"/>
          <w:lang w:val="uk-UA"/>
        </w:rPr>
      </w:pPr>
      <w:bookmarkStart w:id="0" w:name="_GoBack"/>
      <w:bookmarkEnd w:id="0"/>
      <w:r w:rsidRPr="00BE436D">
        <w:rPr>
          <w:b/>
          <w:bCs/>
          <w:spacing w:val="-4"/>
          <w:sz w:val="28"/>
          <w:szCs w:val="28"/>
          <w:lang w:val="uk-UA"/>
        </w:rPr>
        <w:t>ПОРІВНЯЛЬНА ТАБЛИЦЯ</w:t>
      </w:r>
    </w:p>
    <w:p w:rsidR="00BB52CF" w:rsidRPr="00BE436D" w:rsidRDefault="002B42F4" w:rsidP="00F232D8">
      <w:pPr>
        <w:pStyle w:val="a3"/>
        <w:jc w:val="center"/>
        <w:rPr>
          <w:b/>
          <w:bCs/>
          <w:spacing w:val="-4"/>
          <w:szCs w:val="28"/>
        </w:rPr>
      </w:pPr>
      <w:r w:rsidRPr="00BE436D">
        <w:rPr>
          <w:b/>
          <w:bCs/>
          <w:spacing w:val="-4"/>
          <w:szCs w:val="28"/>
        </w:rPr>
        <w:t xml:space="preserve">до проекту Закону України </w:t>
      </w:r>
      <w:r w:rsidR="006864F3" w:rsidRPr="00BE436D">
        <w:rPr>
          <w:b/>
          <w:bCs/>
          <w:spacing w:val="-4"/>
          <w:szCs w:val="28"/>
        </w:rPr>
        <w:t>"</w:t>
      </w:r>
      <w:r w:rsidR="00F232D8" w:rsidRPr="00F232D8">
        <w:rPr>
          <w:b/>
          <w:bCs/>
          <w:spacing w:val="-4"/>
          <w:szCs w:val="28"/>
        </w:rPr>
        <w:t>Про внесення змін до Закону України "Про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областях" щодо</w:t>
      </w:r>
      <w:r w:rsidR="00F232D8">
        <w:rPr>
          <w:b/>
          <w:bCs/>
          <w:spacing w:val="-4"/>
          <w:szCs w:val="28"/>
        </w:rPr>
        <w:t xml:space="preserve"> </w:t>
      </w:r>
      <w:r w:rsidR="00F232D8" w:rsidRPr="00F232D8">
        <w:rPr>
          <w:b/>
          <w:bCs/>
          <w:spacing w:val="-4"/>
          <w:szCs w:val="28"/>
        </w:rPr>
        <w:t>допуску дізнавачів, слідчих та прокурорів до району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6864F3" w:rsidRPr="00BE436D">
        <w:rPr>
          <w:b/>
          <w:bCs/>
          <w:spacing w:val="-4"/>
          <w:szCs w:val="28"/>
        </w:rPr>
        <w:t>"</w:t>
      </w:r>
    </w:p>
    <w:p w:rsidR="00BE436D" w:rsidRPr="00BE436D" w:rsidRDefault="00BE436D" w:rsidP="00F232D8">
      <w:pPr>
        <w:pStyle w:val="a3"/>
        <w:jc w:val="center"/>
        <w:rPr>
          <w:b/>
          <w:bCs/>
          <w:spacing w:val="-4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7371"/>
      </w:tblGrid>
      <w:tr w:rsidR="002B42F4" w:rsidRPr="00BE436D" w:rsidTr="00B40C55">
        <w:tc>
          <w:tcPr>
            <w:tcW w:w="7371" w:type="dxa"/>
          </w:tcPr>
          <w:p w:rsidR="002B42F4" w:rsidRPr="00BE436D" w:rsidRDefault="002B42F4" w:rsidP="00F232D8">
            <w:pPr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BE436D">
              <w:rPr>
                <w:b/>
                <w:spacing w:val="-4"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371" w:type="dxa"/>
          </w:tcPr>
          <w:p w:rsidR="002B42F4" w:rsidRPr="00BE436D" w:rsidRDefault="002B42F4" w:rsidP="00F232D8">
            <w:pPr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BE436D">
              <w:rPr>
                <w:b/>
                <w:spacing w:val="-4"/>
                <w:sz w:val="28"/>
                <w:szCs w:val="28"/>
                <w:lang w:val="uk-UA"/>
              </w:rPr>
              <w:t>Запропонована редакція</w:t>
            </w:r>
          </w:p>
        </w:tc>
      </w:tr>
    </w:tbl>
    <w:p w:rsidR="00F02458" w:rsidRPr="00BE436D" w:rsidRDefault="00F02458" w:rsidP="00F232D8">
      <w:pPr>
        <w:rPr>
          <w:spacing w:val="-4"/>
          <w:sz w:val="2"/>
          <w:szCs w:val="2"/>
          <w:lang w:val="uk-UA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7371"/>
      </w:tblGrid>
      <w:tr w:rsidR="00B40C55" w:rsidRPr="00BE436D" w:rsidTr="00F02458">
        <w:trPr>
          <w:trHeight w:val="262"/>
          <w:tblHeader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B40C55" w:rsidRPr="00BE436D" w:rsidRDefault="00B40C55" w:rsidP="00F232D8">
            <w:pPr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BE436D">
              <w:rPr>
                <w:b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B40C55" w:rsidRPr="00BE436D" w:rsidRDefault="00B40C55" w:rsidP="00F232D8">
            <w:pPr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BE436D">
              <w:rPr>
                <w:b/>
                <w:spacing w:val="-4"/>
                <w:sz w:val="28"/>
                <w:szCs w:val="28"/>
                <w:lang w:val="uk-UA"/>
              </w:rPr>
              <w:t>2</w:t>
            </w:r>
          </w:p>
        </w:tc>
      </w:tr>
      <w:tr w:rsidR="00A119B0" w:rsidRPr="00BE436D" w:rsidTr="00F02458">
        <w:trPr>
          <w:trHeight w:val="277"/>
        </w:trPr>
        <w:tc>
          <w:tcPr>
            <w:tcW w:w="147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32D8" w:rsidRDefault="00F232D8" w:rsidP="00F232D8">
            <w:pPr>
              <w:spacing w:before="120"/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b/>
                <w:spacing w:val="-4"/>
                <w:sz w:val="28"/>
                <w:szCs w:val="28"/>
                <w:lang w:val="uk-UA"/>
              </w:rPr>
              <w:t xml:space="preserve">Закон України </w:t>
            </w:r>
            <w:r w:rsidRPr="00F232D8">
              <w:rPr>
                <w:b/>
                <w:spacing w:val="-4"/>
                <w:sz w:val="28"/>
                <w:szCs w:val="28"/>
                <w:lang w:val="uk-UA"/>
              </w:rPr>
              <w:t xml:space="preserve">"Про особливості державної політики із забезпечення державного суверенітету України </w:t>
            </w:r>
          </w:p>
          <w:p w:rsidR="00704B0C" w:rsidRPr="00BE436D" w:rsidRDefault="00F232D8" w:rsidP="00F232D8">
            <w:pPr>
              <w:spacing w:after="120"/>
              <w:jc w:val="center"/>
              <w:rPr>
                <w:b/>
                <w:spacing w:val="-4"/>
                <w:sz w:val="28"/>
                <w:szCs w:val="28"/>
                <w:lang w:val="uk-UA"/>
              </w:rPr>
            </w:pPr>
            <w:r w:rsidRPr="00F232D8">
              <w:rPr>
                <w:b/>
                <w:spacing w:val="-4"/>
                <w:sz w:val="28"/>
                <w:szCs w:val="28"/>
                <w:lang w:val="uk-UA"/>
              </w:rPr>
              <w:t>на тимчасово окупованих територіях у Донецькій та Луганській областях"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</w:p>
        </w:tc>
      </w:tr>
      <w:tr w:rsidR="00F232D8" w:rsidRPr="00235222" w:rsidTr="00F232D8">
        <w:trPr>
          <w:trHeight w:val="330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9B05A5" w:rsidRPr="009B05A5" w:rsidRDefault="009B05A5" w:rsidP="009B05A5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9B05A5">
              <w:rPr>
                <w:bCs/>
                <w:spacing w:val="-4"/>
                <w:sz w:val="28"/>
                <w:szCs w:val="28"/>
                <w:lang w:val="uk-UA"/>
              </w:rPr>
              <w:t>Стаття 5. Для забезпечення державного суверенітету України на тимчасово окупованих територіях у Донецькій та Луганській областях органи державної влади та їх посадові особи, діючи на підставі, в межах повноважень та у спосіб, що передбачені Конституцією та законами України:</w:t>
            </w:r>
          </w:p>
          <w:p w:rsidR="009B05A5" w:rsidRDefault="009B05A5" w:rsidP="009B05A5">
            <w:pPr>
              <w:spacing w:before="6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9B05A5">
              <w:rPr>
                <w:bCs/>
                <w:spacing w:val="-4"/>
                <w:sz w:val="28"/>
                <w:szCs w:val="28"/>
                <w:lang w:val="uk-UA"/>
              </w:rPr>
              <w:t xml:space="preserve">1) вживають заходів для захисту прав і свобод цивільного населення; </w:t>
            </w:r>
          </w:p>
          <w:p w:rsidR="009B05A5" w:rsidRDefault="009B05A5" w:rsidP="009B05A5">
            <w:pPr>
              <w:spacing w:before="6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>…</w:t>
            </w:r>
          </w:p>
          <w:p w:rsidR="00F232D8" w:rsidRPr="00791053" w:rsidRDefault="009B05A5" w:rsidP="009B05A5">
            <w:pPr>
              <w:spacing w:before="6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9B05A5">
              <w:rPr>
                <w:bCs/>
                <w:spacing w:val="-4"/>
                <w:sz w:val="28"/>
                <w:szCs w:val="28"/>
                <w:lang w:val="uk-UA"/>
              </w:rPr>
              <w:t>5) використовують механізми двосторонньої міжнародної співпраці, міжнародних організацій та міжнародних судових інстанцій з метою збереження та посилення санкцій, що застосовуються щодо Російської Федерації членами міжнародного співтовариства.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9B05A5" w:rsidRPr="009B05A5" w:rsidRDefault="009B05A5" w:rsidP="009B05A5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9B05A5">
              <w:rPr>
                <w:bCs/>
                <w:spacing w:val="-4"/>
                <w:sz w:val="28"/>
                <w:szCs w:val="28"/>
                <w:lang w:val="uk-UA"/>
              </w:rPr>
              <w:t>Стаття 5. Для забезпечення державного суверенітету України на тимчасово окупованих територіях у Донецькій та Луганській областях органи державної влади та їх посадові особи, діючи на підставі, в межах повноважень та у спосіб, що передбачені Конституцією та законами України:</w:t>
            </w:r>
          </w:p>
          <w:p w:rsidR="009B05A5" w:rsidRDefault="009B05A5" w:rsidP="009B05A5">
            <w:pPr>
              <w:spacing w:before="6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9B05A5">
              <w:rPr>
                <w:bCs/>
                <w:spacing w:val="-4"/>
                <w:sz w:val="28"/>
                <w:szCs w:val="28"/>
                <w:lang w:val="uk-UA"/>
              </w:rPr>
              <w:t xml:space="preserve">1) вживають заходів для захисту прав і свобод цивільного населення; </w:t>
            </w:r>
          </w:p>
          <w:p w:rsidR="009B05A5" w:rsidRDefault="009B05A5" w:rsidP="009B05A5">
            <w:pPr>
              <w:spacing w:before="6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>…</w:t>
            </w:r>
          </w:p>
          <w:p w:rsidR="009B05A5" w:rsidRDefault="009B05A5" w:rsidP="009B05A5">
            <w:pPr>
              <w:spacing w:before="6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9B05A5">
              <w:rPr>
                <w:bCs/>
                <w:spacing w:val="-4"/>
                <w:sz w:val="28"/>
                <w:szCs w:val="28"/>
                <w:lang w:val="uk-UA"/>
              </w:rPr>
              <w:t>5) використовують механізми двосторонньої міжнародної співпраці, міжнародних організацій та міжнародних судових інстанцій з метою збереження та посилення санкцій, що застосовуються щодо Російської Федерації член</w:t>
            </w:r>
            <w:r>
              <w:rPr>
                <w:bCs/>
                <w:spacing w:val="-4"/>
                <w:sz w:val="28"/>
                <w:szCs w:val="28"/>
                <w:lang w:val="uk-UA"/>
              </w:rPr>
              <w:t>ами міжнародного співтовариства,</w:t>
            </w:r>
            <w:r w:rsidRPr="000F72DB">
              <w:rPr>
                <w:lang w:val="uk-UA"/>
              </w:rPr>
              <w:t xml:space="preserve"> </w:t>
            </w:r>
            <w:r w:rsidRPr="009B05A5">
              <w:rPr>
                <w:b/>
                <w:bCs/>
                <w:spacing w:val="-4"/>
                <w:sz w:val="28"/>
                <w:szCs w:val="28"/>
                <w:lang w:val="uk-UA"/>
              </w:rPr>
              <w:t>а також притягнення винних осіб до кримінальної відповідальності за злочини проти миру, безпеки людства та міжнародного правопорядку</w:t>
            </w:r>
            <w:r>
              <w:rPr>
                <w:bCs/>
                <w:spacing w:val="-4"/>
                <w:sz w:val="28"/>
                <w:szCs w:val="28"/>
                <w:lang w:val="uk-UA"/>
              </w:rPr>
              <w:t>.</w:t>
            </w:r>
          </w:p>
          <w:p w:rsidR="00F232D8" w:rsidRPr="006A7208" w:rsidRDefault="00F232D8" w:rsidP="00F232D8">
            <w:pPr>
              <w:jc w:val="both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</w:tc>
      </w:tr>
      <w:tr w:rsidR="00F232D8" w:rsidRPr="00BE436D" w:rsidTr="00F232D8">
        <w:trPr>
          <w:trHeight w:val="330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F232D8">
              <w:rPr>
                <w:bCs/>
                <w:spacing w:val="-4"/>
                <w:sz w:val="28"/>
                <w:szCs w:val="28"/>
                <w:lang w:val="uk-UA"/>
              </w:rPr>
              <w:lastRenderedPageBreak/>
              <w:t>Стаття 8. Для забезпечення національної безпеки і оборони, відсічі і стримування збройної агресії Російської Федерації у Донецькій та Луганській областях:</w:t>
            </w:r>
          </w:p>
          <w:p w:rsidR="00F232D8" w:rsidRDefault="00F232D8" w:rsidP="009B05A5">
            <w:pPr>
              <w:spacing w:before="120" w:after="12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>…</w:t>
            </w: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F232D8">
              <w:rPr>
                <w:bCs/>
                <w:spacing w:val="-4"/>
                <w:sz w:val="28"/>
                <w:szCs w:val="28"/>
                <w:lang w:val="uk-UA"/>
              </w:rPr>
              <w:t xml:space="preserve">2) у зонах безпеки, прилеглих до району бойових дій діє особливий порядок, що передбачає надання органам сектору безпеки і оборони, іншим державним органам України спеціальних повноважень, необхідних для здійснення заходів із забезпечення національної безпеки і оборони, відсічі і стримування збройної агресії Російської Федерації. Межі зон безпеки, прилеглих до району бойових дій, визначаються начальником Генерального штабу </w:t>
            </w:r>
            <w:r w:rsidR="00FB09E4">
              <w:rPr>
                <w:bCs/>
                <w:spacing w:val="-4"/>
                <w:sz w:val="28"/>
                <w:szCs w:val="28"/>
                <w:lang w:val="uk-UA"/>
              </w:rPr>
              <w:t>–</w:t>
            </w:r>
            <w:r w:rsidRPr="00F232D8">
              <w:rPr>
                <w:bCs/>
                <w:spacing w:val="-4"/>
                <w:sz w:val="28"/>
                <w:szCs w:val="28"/>
                <w:lang w:val="uk-UA"/>
              </w:rPr>
              <w:t xml:space="preserve"> Головнокомандувачем Збройних Сил України за поданням Командувача об'єднаних сил.</w:t>
            </w: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B76D66" w:rsidRDefault="00B76D66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Pr="00F232D8" w:rsidRDefault="00F232D8" w:rsidP="00F232D8">
            <w:pPr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F232D8">
              <w:rPr>
                <w:b/>
                <w:bCs/>
                <w:spacing w:val="-4"/>
                <w:sz w:val="28"/>
                <w:szCs w:val="28"/>
                <w:lang w:val="uk-UA"/>
              </w:rPr>
              <w:t>Відсутній.</w:t>
            </w: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</w:p>
          <w:p w:rsidR="00F232D8" w:rsidRPr="00791053" w:rsidRDefault="00F232D8" w:rsidP="00B76D66">
            <w:pPr>
              <w:spacing w:before="300" w:after="12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>…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FB09E4" w:rsidRDefault="00FB09E4" w:rsidP="00F232D8">
            <w:pPr>
              <w:spacing w:after="12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FB09E4">
              <w:rPr>
                <w:bCs/>
                <w:spacing w:val="-4"/>
                <w:sz w:val="28"/>
                <w:szCs w:val="28"/>
                <w:lang w:val="uk-UA"/>
              </w:rPr>
              <w:lastRenderedPageBreak/>
              <w:t>Стаття 8. Для забезпечення національної безпеки і оборони, відсічі і стримування збройної агресії Російської Федерації у Донецькій та Луганській областях:</w:t>
            </w:r>
          </w:p>
          <w:p w:rsidR="00F232D8" w:rsidRDefault="00F232D8" w:rsidP="00F232D8">
            <w:pPr>
              <w:spacing w:after="120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>…</w:t>
            </w:r>
          </w:p>
          <w:p w:rsidR="00F232D8" w:rsidRDefault="00F232D8" w:rsidP="00F232D8">
            <w:pPr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F232D8">
              <w:rPr>
                <w:bCs/>
                <w:spacing w:val="-4"/>
                <w:sz w:val="28"/>
                <w:szCs w:val="28"/>
                <w:lang w:val="uk-UA"/>
              </w:rPr>
              <w:t xml:space="preserve">2) у зонах безпеки, прилеглих до району бойових дій діє особливий порядок, що передбачає надання органам сектору безпеки і оборони, іншим державним органам України спеціальних повноважень, необхідних для здійснення заходів із забезпечення національної безпеки і оборони, відсічі і стримування збройної агресії Російської Федерації. Межі зон безпеки, прилеглих до району бойових дій, визначаються начальником Генерального штабу </w:t>
            </w:r>
            <w:r w:rsidR="00FB09E4">
              <w:rPr>
                <w:bCs/>
                <w:spacing w:val="-4"/>
                <w:sz w:val="28"/>
                <w:szCs w:val="28"/>
                <w:lang w:val="uk-UA"/>
              </w:rPr>
              <w:t>–</w:t>
            </w:r>
            <w:r w:rsidRPr="00F232D8">
              <w:rPr>
                <w:bCs/>
                <w:spacing w:val="-4"/>
                <w:sz w:val="28"/>
                <w:szCs w:val="28"/>
                <w:lang w:val="uk-UA"/>
              </w:rPr>
              <w:t xml:space="preserve"> Головнокомандувачем Збройних Сил України за поданням Командувача об'єднаних сил.</w:t>
            </w:r>
          </w:p>
          <w:p w:rsidR="00F232D8" w:rsidRPr="00F232D8" w:rsidRDefault="00F232D8" w:rsidP="00F232D8">
            <w:pPr>
              <w:spacing w:before="120"/>
              <w:jc w:val="both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F232D8">
              <w:rPr>
                <w:b/>
                <w:bCs/>
                <w:spacing w:val="-4"/>
                <w:sz w:val="28"/>
                <w:szCs w:val="28"/>
                <w:lang w:val="uk-UA"/>
              </w:rPr>
              <w:t xml:space="preserve">3) в районі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забезпечується можливість здійснення уповноваженими особами органів досудового розслідування та прокуратури повноважень у кримінальних провадженнях щодо правопорушень, вчинених в районі здійснення зазначених заходів, зокрема через обов'язковість допуску дізнавачів, слідчих і прокурорів до цього району, а також надання їм відповідного сприяння. Допуск дізнавачів, слідчих і прокурорів до району здійснення заходів із забезпечення національної безпеки і оборони, відсічі і стримування </w:t>
            </w:r>
            <w:r w:rsidRPr="00F232D8">
              <w:rPr>
                <w:b/>
                <w:bCs/>
                <w:spacing w:val="-4"/>
                <w:sz w:val="28"/>
                <w:szCs w:val="28"/>
                <w:lang w:val="uk-UA"/>
              </w:rPr>
              <w:lastRenderedPageBreak/>
              <w:t>збройної агресії Російської Федерації у Донецькій та Луганській областях здійснюється в порядку, визначен</w:t>
            </w:r>
            <w:r>
              <w:rPr>
                <w:b/>
                <w:bCs/>
                <w:spacing w:val="-4"/>
                <w:sz w:val="28"/>
                <w:szCs w:val="28"/>
                <w:lang w:val="uk-UA"/>
              </w:rPr>
              <w:t xml:space="preserve">ому </w:t>
            </w:r>
            <w:r w:rsidR="00B76D66" w:rsidRPr="00B76D66">
              <w:rPr>
                <w:b/>
                <w:bCs/>
                <w:spacing w:val="-4"/>
                <w:sz w:val="28"/>
                <w:szCs w:val="28"/>
                <w:lang w:val="uk-UA"/>
              </w:rPr>
              <w:t>Командувачем об'єднаних сил</w:t>
            </w:r>
            <w:r w:rsidRPr="00F232D8">
              <w:rPr>
                <w:b/>
                <w:bCs/>
                <w:spacing w:val="-4"/>
                <w:sz w:val="28"/>
                <w:szCs w:val="28"/>
                <w:lang w:val="uk-UA"/>
              </w:rPr>
              <w:t>.</w:t>
            </w:r>
          </w:p>
          <w:p w:rsidR="00F232D8" w:rsidRPr="006A7208" w:rsidRDefault="00F232D8" w:rsidP="00F232D8">
            <w:pPr>
              <w:spacing w:after="120"/>
              <w:jc w:val="both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>…</w:t>
            </w:r>
          </w:p>
        </w:tc>
      </w:tr>
    </w:tbl>
    <w:p w:rsidR="007654B2" w:rsidRDefault="007654B2" w:rsidP="00F232D8">
      <w:pPr>
        <w:rPr>
          <w:spacing w:val="-4"/>
          <w:sz w:val="28"/>
          <w:szCs w:val="28"/>
          <w:lang w:val="uk-UA"/>
        </w:rPr>
      </w:pPr>
    </w:p>
    <w:p w:rsidR="006A7208" w:rsidRDefault="006A7208" w:rsidP="00F232D8">
      <w:pPr>
        <w:rPr>
          <w:spacing w:val="-4"/>
          <w:sz w:val="28"/>
          <w:szCs w:val="28"/>
          <w:lang w:val="uk-UA"/>
        </w:rPr>
      </w:pPr>
    </w:p>
    <w:p w:rsidR="00F232D8" w:rsidRPr="00BE436D" w:rsidRDefault="00F232D8" w:rsidP="00F232D8">
      <w:pPr>
        <w:rPr>
          <w:spacing w:val="-4"/>
          <w:sz w:val="28"/>
          <w:szCs w:val="28"/>
          <w:lang w:val="uk-UA"/>
        </w:rPr>
      </w:pPr>
    </w:p>
    <w:p w:rsidR="00F232D8" w:rsidRDefault="00F232D8" w:rsidP="00F232D8">
      <w:pPr>
        <w:ind w:left="1276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</w:t>
      </w:r>
      <w:r w:rsidR="00F203D4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Заступник Керівника </w:t>
      </w:r>
    </w:p>
    <w:p w:rsidR="00F203D4" w:rsidRDefault="00F232D8" w:rsidP="00F232D8">
      <w:pPr>
        <w:ind w:left="1276"/>
        <w:rPr>
          <w:b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Офісу Президента України </w:t>
      </w:r>
      <w:r w:rsidR="00F203D4">
        <w:rPr>
          <w:sz w:val="28"/>
          <w:szCs w:val="28"/>
          <w:lang w:val="uk-UA"/>
        </w:rPr>
        <w:t xml:space="preserve">  </w:t>
      </w:r>
      <w:r w:rsidR="00F203D4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="000F72DB">
        <w:rPr>
          <w:b/>
          <w:sz w:val="28"/>
          <w:szCs w:val="28"/>
          <w:lang w:val="uk-UA"/>
        </w:rPr>
        <w:t>О.Татаров</w:t>
      </w:r>
      <w:r w:rsidR="00F203D4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1E1B26" w:rsidRPr="00BE436D" w:rsidRDefault="001E1B26" w:rsidP="00F232D8">
      <w:pPr>
        <w:ind w:left="993"/>
        <w:rPr>
          <w:spacing w:val="-4"/>
          <w:lang w:val="uk-UA"/>
        </w:rPr>
      </w:pPr>
    </w:p>
    <w:sectPr w:rsidR="001E1B26" w:rsidRPr="00BE436D" w:rsidSect="00B87D45">
      <w:headerReference w:type="even" r:id="rId7"/>
      <w:headerReference w:type="default" r:id="rId8"/>
      <w:pgSz w:w="16838" w:h="11906" w:orient="landscape" w:code="9"/>
      <w:pgMar w:top="147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B2" w:rsidRDefault="00442EB2">
      <w:r>
        <w:separator/>
      </w:r>
    </w:p>
  </w:endnote>
  <w:endnote w:type="continuationSeparator" w:id="0">
    <w:p w:rsidR="00442EB2" w:rsidRDefault="00442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B2" w:rsidRDefault="00442EB2">
      <w:r>
        <w:separator/>
      </w:r>
    </w:p>
  </w:footnote>
  <w:footnote w:type="continuationSeparator" w:id="0">
    <w:p w:rsidR="00442EB2" w:rsidRDefault="00442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541" w:rsidRDefault="000E4541" w:rsidP="00D40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4541" w:rsidRDefault="000E45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541" w:rsidRPr="00EA4D71" w:rsidRDefault="000E4541" w:rsidP="00D40553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EA4D71">
      <w:rPr>
        <w:rStyle w:val="a6"/>
        <w:sz w:val="28"/>
        <w:szCs w:val="28"/>
      </w:rPr>
      <w:fldChar w:fldCharType="begin"/>
    </w:r>
    <w:r w:rsidRPr="00EA4D71">
      <w:rPr>
        <w:rStyle w:val="a6"/>
        <w:sz w:val="28"/>
        <w:szCs w:val="28"/>
      </w:rPr>
      <w:instrText xml:space="preserve">PAGE  </w:instrText>
    </w:r>
    <w:r w:rsidRPr="00EA4D71">
      <w:rPr>
        <w:rStyle w:val="a6"/>
        <w:sz w:val="28"/>
        <w:szCs w:val="28"/>
      </w:rPr>
      <w:fldChar w:fldCharType="separate"/>
    </w:r>
    <w:r w:rsidR="00235222">
      <w:rPr>
        <w:rStyle w:val="a6"/>
        <w:noProof/>
        <w:sz w:val="28"/>
        <w:szCs w:val="28"/>
      </w:rPr>
      <w:t>2</w:t>
    </w:r>
    <w:r w:rsidRPr="00EA4D71">
      <w:rPr>
        <w:rStyle w:val="a6"/>
        <w:sz w:val="28"/>
        <w:szCs w:val="28"/>
      </w:rPr>
      <w:fldChar w:fldCharType="end"/>
    </w:r>
  </w:p>
  <w:p w:rsidR="000E4541" w:rsidRDefault="000E45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6D3"/>
    <w:rsid w:val="00002A8C"/>
    <w:rsid w:val="00003904"/>
    <w:rsid w:val="00011E7E"/>
    <w:rsid w:val="00013882"/>
    <w:rsid w:val="00015615"/>
    <w:rsid w:val="000169EB"/>
    <w:rsid w:val="00021B09"/>
    <w:rsid w:val="000237DF"/>
    <w:rsid w:val="000257BA"/>
    <w:rsid w:val="00030FD1"/>
    <w:rsid w:val="0003180D"/>
    <w:rsid w:val="0003437B"/>
    <w:rsid w:val="00035794"/>
    <w:rsid w:val="000403FA"/>
    <w:rsid w:val="00042D18"/>
    <w:rsid w:val="00042DF4"/>
    <w:rsid w:val="00043E54"/>
    <w:rsid w:val="0004545E"/>
    <w:rsid w:val="000467D8"/>
    <w:rsid w:val="00052EDB"/>
    <w:rsid w:val="00056397"/>
    <w:rsid w:val="000572EE"/>
    <w:rsid w:val="00066CE0"/>
    <w:rsid w:val="00071131"/>
    <w:rsid w:val="000777D2"/>
    <w:rsid w:val="000803F9"/>
    <w:rsid w:val="00083E9B"/>
    <w:rsid w:val="00086DA5"/>
    <w:rsid w:val="00090E25"/>
    <w:rsid w:val="00091518"/>
    <w:rsid w:val="000A54D0"/>
    <w:rsid w:val="000B0B5A"/>
    <w:rsid w:val="000B2AF3"/>
    <w:rsid w:val="000B4BCC"/>
    <w:rsid w:val="000C2960"/>
    <w:rsid w:val="000C4459"/>
    <w:rsid w:val="000D12A3"/>
    <w:rsid w:val="000D5F34"/>
    <w:rsid w:val="000D77EC"/>
    <w:rsid w:val="000D7E50"/>
    <w:rsid w:val="000D7F53"/>
    <w:rsid w:val="000E0E5C"/>
    <w:rsid w:val="000E4541"/>
    <w:rsid w:val="000E5955"/>
    <w:rsid w:val="000E728D"/>
    <w:rsid w:val="000F11F4"/>
    <w:rsid w:val="000F2508"/>
    <w:rsid w:val="000F68B2"/>
    <w:rsid w:val="000F72DB"/>
    <w:rsid w:val="00104BAE"/>
    <w:rsid w:val="00111F0B"/>
    <w:rsid w:val="00113B73"/>
    <w:rsid w:val="0011485E"/>
    <w:rsid w:val="0011575E"/>
    <w:rsid w:val="00116874"/>
    <w:rsid w:val="00124305"/>
    <w:rsid w:val="00124413"/>
    <w:rsid w:val="00124DA5"/>
    <w:rsid w:val="001258C2"/>
    <w:rsid w:val="00127EBE"/>
    <w:rsid w:val="00130A51"/>
    <w:rsid w:val="00130A79"/>
    <w:rsid w:val="00135B29"/>
    <w:rsid w:val="0013638F"/>
    <w:rsid w:val="00142303"/>
    <w:rsid w:val="001447A9"/>
    <w:rsid w:val="001470AE"/>
    <w:rsid w:val="0016666E"/>
    <w:rsid w:val="00174CE5"/>
    <w:rsid w:val="001808F2"/>
    <w:rsid w:val="00186CC2"/>
    <w:rsid w:val="00190398"/>
    <w:rsid w:val="00191523"/>
    <w:rsid w:val="00194DF8"/>
    <w:rsid w:val="001977A1"/>
    <w:rsid w:val="001A1021"/>
    <w:rsid w:val="001A2300"/>
    <w:rsid w:val="001A4161"/>
    <w:rsid w:val="001A5364"/>
    <w:rsid w:val="001A77FA"/>
    <w:rsid w:val="001A7C3C"/>
    <w:rsid w:val="001A7C6E"/>
    <w:rsid w:val="001A7CD7"/>
    <w:rsid w:val="001B22AB"/>
    <w:rsid w:val="001B2AF9"/>
    <w:rsid w:val="001B5E6F"/>
    <w:rsid w:val="001D3FF0"/>
    <w:rsid w:val="001D6CA4"/>
    <w:rsid w:val="001D7A97"/>
    <w:rsid w:val="001E0EFF"/>
    <w:rsid w:val="001E1B26"/>
    <w:rsid w:val="001E379E"/>
    <w:rsid w:val="001E6715"/>
    <w:rsid w:val="001F3897"/>
    <w:rsid w:val="001F4B7C"/>
    <w:rsid w:val="001F4D69"/>
    <w:rsid w:val="001F4E66"/>
    <w:rsid w:val="00201FA8"/>
    <w:rsid w:val="00205AC2"/>
    <w:rsid w:val="00205B13"/>
    <w:rsid w:val="00205F2E"/>
    <w:rsid w:val="002131A9"/>
    <w:rsid w:val="00217171"/>
    <w:rsid w:val="00222D3C"/>
    <w:rsid w:val="0022480D"/>
    <w:rsid w:val="00232CBF"/>
    <w:rsid w:val="002338DA"/>
    <w:rsid w:val="00235222"/>
    <w:rsid w:val="0023737A"/>
    <w:rsid w:val="00242814"/>
    <w:rsid w:val="00250282"/>
    <w:rsid w:val="00254A45"/>
    <w:rsid w:val="00256EC5"/>
    <w:rsid w:val="00256EEC"/>
    <w:rsid w:val="002570F6"/>
    <w:rsid w:val="00257162"/>
    <w:rsid w:val="00262C48"/>
    <w:rsid w:val="00266202"/>
    <w:rsid w:val="002673A0"/>
    <w:rsid w:val="00275053"/>
    <w:rsid w:val="00284BE3"/>
    <w:rsid w:val="002911F2"/>
    <w:rsid w:val="0029284D"/>
    <w:rsid w:val="00294AB4"/>
    <w:rsid w:val="002A4970"/>
    <w:rsid w:val="002A4DCF"/>
    <w:rsid w:val="002A543E"/>
    <w:rsid w:val="002B0230"/>
    <w:rsid w:val="002B42F4"/>
    <w:rsid w:val="002B4E7D"/>
    <w:rsid w:val="002B6D05"/>
    <w:rsid w:val="002B725D"/>
    <w:rsid w:val="002C3AB8"/>
    <w:rsid w:val="002C40EA"/>
    <w:rsid w:val="002C505A"/>
    <w:rsid w:val="002C53D7"/>
    <w:rsid w:val="002C5EAD"/>
    <w:rsid w:val="002D6EA1"/>
    <w:rsid w:val="002E5169"/>
    <w:rsid w:val="002F590B"/>
    <w:rsid w:val="00305DDB"/>
    <w:rsid w:val="00305F5F"/>
    <w:rsid w:val="00315B70"/>
    <w:rsid w:val="0031781C"/>
    <w:rsid w:val="00327D26"/>
    <w:rsid w:val="0033033D"/>
    <w:rsid w:val="003325D5"/>
    <w:rsid w:val="00333DE4"/>
    <w:rsid w:val="00336CFA"/>
    <w:rsid w:val="00337CAD"/>
    <w:rsid w:val="00337DFD"/>
    <w:rsid w:val="003459D8"/>
    <w:rsid w:val="00346102"/>
    <w:rsid w:val="00347285"/>
    <w:rsid w:val="0035084D"/>
    <w:rsid w:val="0035136D"/>
    <w:rsid w:val="00351CAB"/>
    <w:rsid w:val="003563F2"/>
    <w:rsid w:val="003611CA"/>
    <w:rsid w:val="00365406"/>
    <w:rsid w:val="0036720D"/>
    <w:rsid w:val="00371991"/>
    <w:rsid w:val="00377224"/>
    <w:rsid w:val="0037771A"/>
    <w:rsid w:val="0038073A"/>
    <w:rsid w:val="003816DE"/>
    <w:rsid w:val="0038621B"/>
    <w:rsid w:val="003908B5"/>
    <w:rsid w:val="003919DB"/>
    <w:rsid w:val="0039361B"/>
    <w:rsid w:val="00395278"/>
    <w:rsid w:val="003953C7"/>
    <w:rsid w:val="003A5710"/>
    <w:rsid w:val="003B3B2E"/>
    <w:rsid w:val="003D42AF"/>
    <w:rsid w:val="003D49C0"/>
    <w:rsid w:val="003E1283"/>
    <w:rsid w:val="003E1A06"/>
    <w:rsid w:val="003F14B1"/>
    <w:rsid w:val="003F7856"/>
    <w:rsid w:val="003F7A02"/>
    <w:rsid w:val="00405875"/>
    <w:rsid w:val="004104AA"/>
    <w:rsid w:val="00412A69"/>
    <w:rsid w:val="004150F1"/>
    <w:rsid w:val="0043074A"/>
    <w:rsid w:val="00430E4F"/>
    <w:rsid w:val="004356C9"/>
    <w:rsid w:val="004363ED"/>
    <w:rsid w:val="00441256"/>
    <w:rsid w:val="004423B9"/>
    <w:rsid w:val="00442EB2"/>
    <w:rsid w:val="00442FAD"/>
    <w:rsid w:val="00447E85"/>
    <w:rsid w:val="00452FD7"/>
    <w:rsid w:val="00453977"/>
    <w:rsid w:val="00455C39"/>
    <w:rsid w:val="00456B20"/>
    <w:rsid w:val="004605A1"/>
    <w:rsid w:val="00462501"/>
    <w:rsid w:val="00462880"/>
    <w:rsid w:val="00464B7E"/>
    <w:rsid w:val="00467A24"/>
    <w:rsid w:val="00470883"/>
    <w:rsid w:val="00473E24"/>
    <w:rsid w:val="0047470E"/>
    <w:rsid w:val="00475284"/>
    <w:rsid w:val="00475423"/>
    <w:rsid w:val="0047767F"/>
    <w:rsid w:val="0047779E"/>
    <w:rsid w:val="00477DA1"/>
    <w:rsid w:val="00482FFA"/>
    <w:rsid w:val="00492591"/>
    <w:rsid w:val="00493853"/>
    <w:rsid w:val="00495CC2"/>
    <w:rsid w:val="00496CD3"/>
    <w:rsid w:val="00497DD0"/>
    <w:rsid w:val="004A0F02"/>
    <w:rsid w:val="004A30F4"/>
    <w:rsid w:val="004A36D3"/>
    <w:rsid w:val="004A4A40"/>
    <w:rsid w:val="004A5A69"/>
    <w:rsid w:val="004B44C3"/>
    <w:rsid w:val="004B50C5"/>
    <w:rsid w:val="004B7A6E"/>
    <w:rsid w:val="004B7FDD"/>
    <w:rsid w:val="004C20B0"/>
    <w:rsid w:val="004C4CC7"/>
    <w:rsid w:val="004C54E3"/>
    <w:rsid w:val="004C6F9F"/>
    <w:rsid w:val="004D034D"/>
    <w:rsid w:val="004D05E1"/>
    <w:rsid w:val="004D0FA4"/>
    <w:rsid w:val="004D2860"/>
    <w:rsid w:val="004D2993"/>
    <w:rsid w:val="004D4893"/>
    <w:rsid w:val="004E04AC"/>
    <w:rsid w:val="004E06D5"/>
    <w:rsid w:val="004E1924"/>
    <w:rsid w:val="004E3CE5"/>
    <w:rsid w:val="004E4116"/>
    <w:rsid w:val="004E4B12"/>
    <w:rsid w:val="004E72C0"/>
    <w:rsid w:val="004F4C89"/>
    <w:rsid w:val="004F562E"/>
    <w:rsid w:val="00500D10"/>
    <w:rsid w:val="005114E2"/>
    <w:rsid w:val="00514F1C"/>
    <w:rsid w:val="00515436"/>
    <w:rsid w:val="00520F42"/>
    <w:rsid w:val="0052604D"/>
    <w:rsid w:val="00526A92"/>
    <w:rsid w:val="005311F4"/>
    <w:rsid w:val="00533BD7"/>
    <w:rsid w:val="00534F55"/>
    <w:rsid w:val="005423BD"/>
    <w:rsid w:val="0054317A"/>
    <w:rsid w:val="00543EC8"/>
    <w:rsid w:val="00555715"/>
    <w:rsid w:val="00557066"/>
    <w:rsid w:val="00561F26"/>
    <w:rsid w:val="005633CF"/>
    <w:rsid w:val="00567B94"/>
    <w:rsid w:val="00571E81"/>
    <w:rsid w:val="00575D39"/>
    <w:rsid w:val="00576776"/>
    <w:rsid w:val="005768E6"/>
    <w:rsid w:val="00585B1E"/>
    <w:rsid w:val="00586140"/>
    <w:rsid w:val="005879B3"/>
    <w:rsid w:val="00587AEA"/>
    <w:rsid w:val="005929DC"/>
    <w:rsid w:val="005A6813"/>
    <w:rsid w:val="005B0BB1"/>
    <w:rsid w:val="005B3C8C"/>
    <w:rsid w:val="005B7994"/>
    <w:rsid w:val="005C0807"/>
    <w:rsid w:val="005C1BA4"/>
    <w:rsid w:val="005C574C"/>
    <w:rsid w:val="005C6418"/>
    <w:rsid w:val="005D0738"/>
    <w:rsid w:val="005D1519"/>
    <w:rsid w:val="005D208E"/>
    <w:rsid w:val="005D4B4A"/>
    <w:rsid w:val="005D5A07"/>
    <w:rsid w:val="005D5FC4"/>
    <w:rsid w:val="005D7F1A"/>
    <w:rsid w:val="005E096C"/>
    <w:rsid w:val="005E0E2B"/>
    <w:rsid w:val="005F51AB"/>
    <w:rsid w:val="005F6753"/>
    <w:rsid w:val="00600906"/>
    <w:rsid w:val="006048AB"/>
    <w:rsid w:val="00604B9C"/>
    <w:rsid w:val="00606007"/>
    <w:rsid w:val="00607BCB"/>
    <w:rsid w:val="00610453"/>
    <w:rsid w:val="006114D3"/>
    <w:rsid w:val="00611547"/>
    <w:rsid w:val="00617000"/>
    <w:rsid w:val="00624420"/>
    <w:rsid w:val="0062716E"/>
    <w:rsid w:val="00645F91"/>
    <w:rsid w:val="0065039A"/>
    <w:rsid w:val="00650DB7"/>
    <w:rsid w:val="00651091"/>
    <w:rsid w:val="00653D02"/>
    <w:rsid w:val="0066203D"/>
    <w:rsid w:val="00667208"/>
    <w:rsid w:val="00673376"/>
    <w:rsid w:val="00677DC0"/>
    <w:rsid w:val="006826D0"/>
    <w:rsid w:val="006864F3"/>
    <w:rsid w:val="0068701D"/>
    <w:rsid w:val="006A0FC4"/>
    <w:rsid w:val="006A2636"/>
    <w:rsid w:val="006A7024"/>
    <w:rsid w:val="006A7208"/>
    <w:rsid w:val="006B0C94"/>
    <w:rsid w:val="006B380F"/>
    <w:rsid w:val="006B5035"/>
    <w:rsid w:val="006B62F3"/>
    <w:rsid w:val="006C27CA"/>
    <w:rsid w:val="006C367C"/>
    <w:rsid w:val="006D3A7D"/>
    <w:rsid w:val="006E0965"/>
    <w:rsid w:val="006E305A"/>
    <w:rsid w:val="006E3E67"/>
    <w:rsid w:val="006F14F2"/>
    <w:rsid w:val="006F19BD"/>
    <w:rsid w:val="006F3AA8"/>
    <w:rsid w:val="006F5ABA"/>
    <w:rsid w:val="006F62D0"/>
    <w:rsid w:val="006F6CE5"/>
    <w:rsid w:val="00704B0C"/>
    <w:rsid w:val="007069F6"/>
    <w:rsid w:val="0071001D"/>
    <w:rsid w:val="00711346"/>
    <w:rsid w:val="00712EEC"/>
    <w:rsid w:val="0071498B"/>
    <w:rsid w:val="0072119C"/>
    <w:rsid w:val="007250E9"/>
    <w:rsid w:val="00725798"/>
    <w:rsid w:val="007307AA"/>
    <w:rsid w:val="00732154"/>
    <w:rsid w:val="00736B5A"/>
    <w:rsid w:val="00737C4B"/>
    <w:rsid w:val="0074423A"/>
    <w:rsid w:val="007447FC"/>
    <w:rsid w:val="00745024"/>
    <w:rsid w:val="0075015D"/>
    <w:rsid w:val="007503AE"/>
    <w:rsid w:val="00750A90"/>
    <w:rsid w:val="0075223A"/>
    <w:rsid w:val="00754D05"/>
    <w:rsid w:val="007624D8"/>
    <w:rsid w:val="007654B2"/>
    <w:rsid w:val="0076589D"/>
    <w:rsid w:val="00765F21"/>
    <w:rsid w:val="00766B0B"/>
    <w:rsid w:val="007723D7"/>
    <w:rsid w:val="00775AAB"/>
    <w:rsid w:val="007760FA"/>
    <w:rsid w:val="007845DC"/>
    <w:rsid w:val="00791053"/>
    <w:rsid w:val="00792186"/>
    <w:rsid w:val="00797F4F"/>
    <w:rsid w:val="007A00C6"/>
    <w:rsid w:val="007A564B"/>
    <w:rsid w:val="007A57E6"/>
    <w:rsid w:val="007A67B5"/>
    <w:rsid w:val="007A7C6A"/>
    <w:rsid w:val="007B4B30"/>
    <w:rsid w:val="007B57A2"/>
    <w:rsid w:val="007C68A1"/>
    <w:rsid w:val="007C6F66"/>
    <w:rsid w:val="007D047D"/>
    <w:rsid w:val="007D2537"/>
    <w:rsid w:val="007D2F6E"/>
    <w:rsid w:val="007E2FFF"/>
    <w:rsid w:val="007E50D8"/>
    <w:rsid w:val="007F0196"/>
    <w:rsid w:val="007F1F56"/>
    <w:rsid w:val="00802745"/>
    <w:rsid w:val="008101A9"/>
    <w:rsid w:val="00812347"/>
    <w:rsid w:val="00813976"/>
    <w:rsid w:val="00816DEB"/>
    <w:rsid w:val="00816DF6"/>
    <w:rsid w:val="00817B38"/>
    <w:rsid w:val="008236C5"/>
    <w:rsid w:val="0082533C"/>
    <w:rsid w:val="00827F85"/>
    <w:rsid w:val="0083017E"/>
    <w:rsid w:val="008337F5"/>
    <w:rsid w:val="00833992"/>
    <w:rsid w:val="00835B93"/>
    <w:rsid w:val="00841678"/>
    <w:rsid w:val="00841C6D"/>
    <w:rsid w:val="00847773"/>
    <w:rsid w:val="008704BB"/>
    <w:rsid w:val="008731DF"/>
    <w:rsid w:val="008742D9"/>
    <w:rsid w:val="00880270"/>
    <w:rsid w:val="00884BA9"/>
    <w:rsid w:val="00885F30"/>
    <w:rsid w:val="00890C6F"/>
    <w:rsid w:val="00895053"/>
    <w:rsid w:val="008959E4"/>
    <w:rsid w:val="00896DBD"/>
    <w:rsid w:val="008974BF"/>
    <w:rsid w:val="008A17A9"/>
    <w:rsid w:val="008A3107"/>
    <w:rsid w:val="008B0FDB"/>
    <w:rsid w:val="008B2ADA"/>
    <w:rsid w:val="008B4FB5"/>
    <w:rsid w:val="008B6904"/>
    <w:rsid w:val="008C043F"/>
    <w:rsid w:val="008C09EA"/>
    <w:rsid w:val="008C44F9"/>
    <w:rsid w:val="008C59AC"/>
    <w:rsid w:val="008D47BC"/>
    <w:rsid w:val="008D49D4"/>
    <w:rsid w:val="008E1F6E"/>
    <w:rsid w:val="008E4ED5"/>
    <w:rsid w:val="008E59DD"/>
    <w:rsid w:val="008E76B7"/>
    <w:rsid w:val="008F20EA"/>
    <w:rsid w:val="0090054E"/>
    <w:rsid w:val="00900A95"/>
    <w:rsid w:val="00901F3D"/>
    <w:rsid w:val="00902539"/>
    <w:rsid w:val="00903934"/>
    <w:rsid w:val="00911809"/>
    <w:rsid w:val="0091182F"/>
    <w:rsid w:val="00914294"/>
    <w:rsid w:val="00915220"/>
    <w:rsid w:val="00915574"/>
    <w:rsid w:val="00920306"/>
    <w:rsid w:val="00923098"/>
    <w:rsid w:val="009328F0"/>
    <w:rsid w:val="009338F6"/>
    <w:rsid w:val="00934314"/>
    <w:rsid w:val="0093438B"/>
    <w:rsid w:val="00934C4F"/>
    <w:rsid w:val="00936D95"/>
    <w:rsid w:val="009372E4"/>
    <w:rsid w:val="00937CC4"/>
    <w:rsid w:val="00941898"/>
    <w:rsid w:val="009419C4"/>
    <w:rsid w:val="009442AA"/>
    <w:rsid w:val="009471DF"/>
    <w:rsid w:val="0095061A"/>
    <w:rsid w:val="0095066F"/>
    <w:rsid w:val="0095124E"/>
    <w:rsid w:val="00951BE6"/>
    <w:rsid w:val="00954CC9"/>
    <w:rsid w:val="009615AD"/>
    <w:rsid w:val="00964EF2"/>
    <w:rsid w:val="0096515F"/>
    <w:rsid w:val="00967396"/>
    <w:rsid w:val="009715E6"/>
    <w:rsid w:val="009720F5"/>
    <w:rsid w:val="00972801"/>
    <w:rsid w:val="00976146"/>
    <w:rsid w:val="00980EE9"/>
    <w:rsid w:val="00982A8E"/>
    <w:rsid w:val="009850B8"/>
    <w:rsid w:val="009921C5"/>
    <w:rsid w:val="00997468"/>
    <w:rsid w:val="009A356A"/>
    <w:rsid w:val="009A615A"/>
    <w:rsid w:val="009A6BC9"/>
    <w:rsid w:val="009B05A5"/>
    <w:rsid w:val="009C0130"/>
    <w:rsid w:val="009C4FC3"/>
    <w:rsid w:val="009D080B"/>
    <w:rsid w:val="009D0D42"/>
    <w:rsid w:val="009D1710"/>
    <w:rsid w:val="009D23A2"/>
    <w:rsid w:val="009D2D8A"/>
    <w:rsid w:val="009D3166"/>
    <w:rsid w:val="009D4702"/>
    <w:rsid w:val="009D6C98"/>
    <w:rsid w:val="009E2733"/>
    <w:rsid w:val="009E5469"/>
    <w:rsid w:val="009F1EED"/>
    <w:rsid w:val="009F3E52"/>
    <w:rsid w:val="009F672E"/>
    <w:rsid w:val="00A05436"/>
    <w:rsid w:val="00A119B0"/>
    <w:rsid w:val="00A128AB"/>
    <w:rsid w:val="00A14CA5"/>
    <w:rsid w:val="00A16D94"/>
    <w:rsid w:val="00A275AA"/>
    <w:rsid w:val="00A34514"/>
    <w:rsid w:val="00A37779"/>
    <w:rsid w:val="00A4002D"/>
    <w:rsid w:val="00A41955"/>
    <w:rsid w:val="00A42682"/>
    <w:rsid w:val="00A46106"/>
    <w:rsid w:val="00A506A7"/>
    <w:rsid w:val="00A5184F"/>
    <w:rsid w:val="00A51C22"/>
    <w:rsid w:val="00A51D60"/>
    <w:rsid w:val="00A5226A"/>
    <w:rsid w:val="00A535AA"/>
    <w:rsid w:val="00A56093"/>
    <w:rsid w:val="00A61142"/>
    <w:rsid w:val="00A62D01"/>
    <w:rsid w:val="00A6529C"/>
    <w:rsid w:val="00A66ACD"/>
    <w:rsid w:val="00A747EC"/>
    <w:rsid w:val="00A82776"/>
    <w:rsid w:val="00A83FF2"/>
    <w:rsid w:val="00A8688C"/>
    <w:rsid w:val="00A872C2"/>
    <w:rsid w:val="00A90DC0"/>
    <w:rsid w:val="00AA7701"/>
    <w:rsid w:val="00AB5D3E"/>
    <w:rsid w:val="00AC3B8D"/>
    <w:rsid w:val="00AC661E"/>
    <w:rsid w:val="00AC74BD"/>
    <w:rsid w:val="00AD2029"/>
    <w:rsid w:val="00AD7497"/>
    <w:rsid w:val="00AE01E7"/>
    <w:rsid w:val="00AE4D6B"/>
    <w:rsid w:val="00AE706A"/>
    <w:rsid w:val="00AE734B"/>
    <w:rsid w:val="00AE799B"/>
    <w:rsid w:val="00AF3B62"/>
    <w:rsid w:val="00AF6649"/>
    <w:rsid w:val="00AF77A5"/>
    <w:rsid w:val="00B13112"/>
    <w:rsid w:val="00B13689"/>
    <w:rsid w:val="00B15E84"/>
    <w:rsid w:val="00B26C0C"/>
    <w:rsid w:val="00B31663"/>
    <w:rsid w:val="00B32FB2"/>
    <w:rsid w:val="00B33479"/>
    <w:rsid w:val="00B3392D"/>
    <w:rsid w:val="00B348FD"/>
    <w:rsid w:val="00B40C55"/>
    <w:rsid w:val="00B45A0C"/>
    <w:rsid w:val="00B55719"/>
    <w:rsid w:val="00B567F0"/>
    <w:rsid w:val="00B62915"/>
    <w:rsid w:val="00B65521"/>
    <w:rsid w:val="00B73EC0"/>
    <w:rsid w:val="00B7675D"/>
    <w:rsid w:val="00B76D66"/>
    <w:rsid w:val="00B81409"/>
    <w:rsid w:val="00B85B43"/>
    <w:rsid w:val="00B87D45"/>
    <w:rsid w:val="00B90BC2"/>
    <w:rsid w:val="00B90D9E"/>
    <w:rsid w:val="00B927F0"/>
    <w:rsid w:val="00B9328F"/>
    <w:rsid w:val="00B96620"/>
    <w:rsid w:val="00BA6DDD"/>
    <w:rsid w:val="00BA712C"/>
    <w:rsid w:val="00BB0277"/>
    <w:rsid w:val="00BB1D88"/>
    <w:rsid w:val="00BB1FE2"/>
    <w:rsid w:val="00BB2D93"/>
    <w:rsid w:val="00BB2DC5"/>
    <w:rsid w:val="00BB3820"/>
    <w:rsid w:val="00BB52CF"/>
    <w:rsid w:val="00BB7BFE"/>
    <w:rsid w:val="00BC1083"/>
    <w:rsid w:val="00BC394D"/>
    <w:rsid w:val="00BD405B"/>
    <w:rsid w:val="00BD427B"/>
    <w:rsid w:val="00BD50C8"/>
    <w:rsid w:val="00BD5925"/>
    <w:rsid w:val="00BD5C7B"/>
    <w:rsid w:val="00BD6742"/>
    <w:rsid w:val="00BD6B48"/>
    <w:rsid w:val="00BE0CDD"/>
    <w:rsid w:val="00BE2541"/>
    <w:rsid w:val="00BE2AB8"/>
    <w:rsid w:val="00BE3950"/>
    <w:rsid w:val="00BE436D"/>
    <w:rsid w:val="00BE44F3"/>
    <w:rsid w:val="00BF16B6"/>
    <w:rsid w:val="00C01B24"/>
    <w:rsid w:val="00C0267F"/>
    <w:rsid w:val="00C03E99"/>
    <w:rsid w:val="00C06573"/>
    <w:rsid w:val="00C07558"/>
    <w:rsid w:val="00C13DC5"/>
    <w:rsid w:val="00C2618A"/>
    <w:rsid w:val="00C27492"/>
    <w:rsid w:val="00C3209F"/>
    <w:rsid w:val="00C36419"/>
    <w:rsid w:val="00C406D3"/>
    <w:rsid w:val="00C40AEB"/>
    <w:rsid w:val="00C43902"/>
    <w:rsid w:val="00C4394C"/>
    <w:rsid w:val="00C443D5"/>
    <w:rsid w:val="00C5027C"/>
    <w:rsid w:val="00C52542"/>
    <w:rsid w:val="00C54621"/>
    <w:rsid w:val="00C54934"/>
    <w:rsid w:val="00C57006"/>
    <w:rsid w:val="00C61A51"/>
    <w:rsid w:val="00C62834"/>
    <w:rsid w:val="00C67245"/>
    <w:rsid w:val="00C679B2"/>
    <w:rsid w:val="00C67C54"/>
    <w:rsid w:val="00C70893"/>
    <w:rsid w:val="00C74382"/>
    <w:rsid w:val="00C75B51"/>
    <w:rsid w:val="00C765D6"/>
    <w:rsid w:val="00C838E8"/>
    <w:rsid w:val="00C91D65"/>
    <w:rsid w:val="00C923AF"/>
    <w:rsid w:val="00CA4D18"/>
    <w:rsid w:val="00CA7F7A"/>
    <w:rsid w:val="00CB0C91"/>
    <w:rsid w:val="00CB253F"/>
    <w:rsid w:val="00CB25AC"/>
    <w:rsid w:val="00CB2B2F"/>
    <w:rsid w:val="00CB44B9"/>
    <w:rsid w:val="00CB4F49"/>
    <w:rsid w:val="00CB78AE"/>
    <w:rsid w:val="00CC142E"/>
    <w:rsid w:val="00CC469E"/>
    <w:rsid w:val="00CC621D"/>
    <w:rsid w:val="00CC759C"/>
    <w:rsid w:val="00CD0346"/>
    <w:rsid w:val="00CD5AF8"/>
    <w:rsid w:val="00CD6702"/>
    <w:rsid w:val="00CE16A2"/>
    <w:rsid w:val="00CE74BF"/>
    <w:rsid w:val="00CF5422"/>
    <w:rsid w:val="00D130AD"/>
    <w:rsid w:val="00D14D75"/>
    <w:rsid w:val="00D14E63"/>
    <w:rsid w:val="00D15C04"/>
    <w:rsid w:val="00D219BC"/>
    <w:rsid w:val="00D32BB7"/>
    <w:rsid w:val="00D33037"/>
    <w:rsid w:val="00D33C13"/>
    <w:rsid w:val="00D35681"/>
    <w:rsid w:val="00D40553"/>
    <w:rsid w:val="00D43DA7"/>
    <w:rsid w:val="00D4509A"/>
    <w:rsid w:val="00D518D2"/>
    <w:rsid w:val="00D54A83"/>
    <w:rsid w:val="00D54DA8"/>
    <w:rsid w:val="00D550B7"/>
    <w:rsid w:val="00D619BD"/>
    <w:rsid w:val="00D62F1E"/>
    <w:rsid w:val="00D63F6C"/>
    <w:rsid w:val="00D7105B"/>
    <w:rsid w:val="00D73778"/>
    <w:rsid w:val="00D74246"/>
    <w:rsid w:val="00D766F8"/>
    <w:rsid w:val="00D76B51"/>
    <w:rsid w:val="00D82D95"/>
    <w:rsid w:val="00D851E9"/>
    <w:rsid w:val="00D85FEC"/>
    <w:rsid w:val="00D8680A"/>
    <w:rsid w:val="00D90803"/>
    <w:rsid w:val="00DA7720"/>
    <w:rsid w:val="00DB17CF"/>
    <w:rsid w:val="00DB20D3"/>
    <w:rsid w:val="00DC0B21"/>
    <w:rsid w:val="00DC1AEF"/>
    <w:rsid w:val="00DD75EC"/>
    <w:rsid w:val="00DD7F10"/>
    <w:rsid w:val="00DE1784"/>
    <w:rsid w:val="00DE19EC"/>
    <w:rsid w:val="00DE55DD"/>
    <w:rsid w:val="00DE6FCB"/>
    <w:rsid w:val="00DF3805"/>
    <w:rsid w:val="00E026E4"/>
    <w:rsid w:val="00E038F2"/>
    <w:rsid w:val="00E046FD"/>
    <w:rsid w:val="00E0671F"/>
    <w:rsid w:val="00E13BAD"/>
    <w:rsid w:val="00E1459D"/>
    <w:rsid w:val="00E152D0"/>
    <w:rsid w:val="00E17AD4"/>
    <w:rsid w:val="00E21B59"/>
    <w:rsid w:val="00E2599C"/>
    <w:rsid w:val="00E32560"/>
    <w:rsid w:val="00E3293B"/>
    <w:rsid w:val="00E337A1"/>
    <w:rsid w:val="00E44C4A"/>
    <w:rsid w:val="00E450D6"/>
    <w:rsid w:val="00E547D1"/>
    <w:rsid w:val="00E5716C"/>
    <w:rsid w:val="00E61251"/>
    <w:rsid w:val="00E6351A"/>
    <w:rsid w:val="00E74626"/>
    <w:rsid w:val="00E7503B"/>
    <w:rsid w:val="00E81E57"/>
    <w:rsid w:val="00E82ECA"/>
    <w:rsid w:val="00E8571B"/>
    <w:rsid w:val="00E86303"/>
    <w:rsid w:val="00E94181"/>
    <w:rsid w:val="00E959B3"/>
    <w:rsid w:val="00EA22D1"/>
    <w:rsid w:val="00EA2553"/>
    <w:rsid w:val="00EA3F34"/>
    <w:rsid w:val="00EA3F77"/>
    <w:rsid w:val="00EA4D71"/>
    <w:rsid w:val="00EC3FD2"/>
    <w:rsid w:val="00ED30CA"/>
    <w:rsid w:val="00ED34E4"/>
    <w:rsid w:val="00ED3A94"/>
    <w:rsid w:val="00ED77D9"/>
    <w:rsid w:val="00ED7CE0"/>
    <w:rsid w:val="00EE0EB3"/>
    <w:rsid w:val="00EE6BCC"/>
    <w:rsid w:val="00EE7613"/>
    <w:rsid w:val="00EF042E"/>
    <w:rsid w:val="00EF0F15"/>
    <w:rsid w:val="00EF5155"/>
    <w:rsid w:val="00EF5BB2"/>
    <w:rsid w:val="00F02458"/>
    <w:rsid w:val="00F0297B"/>
    <w:rsid w:val="00F040D5"/>
    <w:rsid w:val="00F07251"/>
    <w:rsid w:val="00F07ABD"/>
    <w:rsid w:val="00F118C7"/>
    <w:rsid w:val="00F126AF"/>
    <w:rsid w:val="00F15F61"/>
    <w:rsid w:val="00F17FF1"/>
    <w:rsid w:val="00F203D4"/>
    <w:rsid w:val="00F232D8"/>
    <w:rsid w:val="00F25FFF"/>
    <w:rsid w:val="00F2634E"/>
    <w:rsid w:val="00F26ACC"/>
    <w:rsid w:val="00F27AB5"/>
    <w:rsid w:val="00F3074B"/>
    <w:rsid w:val="00F31931"/>
    <w:rsid w:val="00F40C04"/>
    <w:rsid w:val="00F465FA"/>
    <w:rsid w:val="00F468F5"/>
    <w:rsid w:val="00F51F45"/>
    <w:rsid w:val="00F5556D"/>
    <w:rsid w:val="00F600AB"/>
    <w:rsid w:val="00F61C9B"/>
    <w:rsid w:val="00F6243C"/>
    <w:rsid w:val="00F65989"/>
    <w:rsid w:val="00F72644"/>
    <w:rsid w:val="00F72AA7"/>
    <w:rsid w:val="00F74227"/>
    <w:rsid w:val="00F76C5C"/>
    <w:rsid w:val="00F80504"/>
    <w:rsid w:val="00F81D3E"/>
    <w:rsid w:val="00F8373E"/>
    <w:rsid w:val="00F84519"/>
    <w:rsid w:val="00F84A6C"/>
    <w:rsid w:val="00F85C37"/>
    <w:rsid w:val="00F900F7"/>
    <w:rsid w:val="00F92E4A"/>
    <w:rsid w:val="00FA07C7"/>
    <w:rsid w:val="00FA0CE0"/>
    <w:rsid w:val="00FA1B12"/>
    <w:rsid w:val="00FA3B0D"/>
    <w:rsid w:val="00FA7119"/>
    <w:rsid w:val="00FB09E4"/>
    <w:rsid w:val="00FB274A"/>
    <w:rsid w:val="00FB2C50"/>
    <w:rsid w:val="00FB5137"/>
    <w:rsid w:val="00FC13CC"/>
    <w:rsid w:val="00FC2135"/>
    <w:rsid w:val="00FC37A4"/>
    <w:rsid w:val="00FC70FA"/>
    <w:rsid w:val="00FD2F1F"/>
    <w:rsid w:val="00FF09DC"/>
    <w:rsid w:val="00FF0AC4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6D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406D3"/>
    <w:pPr>
      <w:spacing w:after="0" w:line="240" w:lineRule="auto"/>
    </w:pPr>
    <w:rPr>
      <w:sz w:val="28"/>
      <w:lang w:eastAsia="en-US"/>
    </w:rPr>
  </w:style>
  <w:style w:type="paragraph" w:styleId="HTML">
    <w:name w:val="HTML Preformatted"/>
    <w:basedOn w:val="a"/>
    <w:link w:val="HTML0"/>
    <w:uiPriority w:val="99"/>
    <w:rsid w:val="00835B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locked/>
    <w:rsid w:val="00835B93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rsid w:val="00EA4D7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Pr>
      <w:rFonts w:eastAsia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EA4D71"/>
    <w:rPr>
      <w:rFonts w:cs="Times New Roman"/>
    </w:rPr>
  </w:style>
  <w:style w:type="paragraph" w:styleId="a7">
    <w:name w:val="footer"/>
    <w:basedOn w:val="a"/>
    <w:link w:val="a8"/>
    <w:uiPriority w:val="99"/>
    <w:rsid w:val="00EA4D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locked/>
    <w:rPr>
      <w:rFonts w:eastAsia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D14D7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Pr>
      <w:rFonts w:eastAsia="Times New Roman" w:cs="Times New Roman"/>
      <w:sz w:val="2"/>
    </w:rPr>
  </w:style>
  <w:style w:type="paragraph" w:customStyle="1" w:styleId="rvps7">
    <w:name w:val="rvps7"/>
    <w:basedOn w:val="a"/>
    <w:rsid w:val="00F8373E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F8373E"/>
  </w:style>
  <w:style w:type="character" w:customStyle="1" w:styleId="ab">
    <w:name w:val="Текст примітки Знак"/>
    <w:basedOn w:val="a0"/>
    <w:link w:val="ac"/>
    <w:uiPriority w:val="99"/>
    <w:locked/>
    <w:rsid w:val="000E4541"/>
    <w:rPr>
      <w:rFonts w:cs="Times New Roman"/>
      <w:sz w:val="20"/>
      <w:szCs w:val="20"/>
      <w:lang w:val="ru-RU" w:eastAsia="ru-RU"/>
    </w:rPr>
  </w:style>
  <w:style w:type="paragraph" w:styleId="ac">
    <w:name w:val="annotation text"/>
    <w:basedOn w:val="a"/>
    <w:link w:val="ab"/>
    <w:uiPriority w:val="99"/>
    <w:rsid w:val="000E4541"/>
    <w:rPr>
      <w:sz w:val="20"/>
      <w:szCs w:val="20"/>
    </w:rPr>
  </w:style>
  <w:style w:type="character" w:customStyle="1" w:styleId="1">
    <w:name w:val="Текст примітки Знак1"/>
    <w:basedOn w:val="a0"/>
    <w:uiPriority w:val="99"/>
    <w:semiHidden/>
    <w:rPr>
      <w:sz w:val="20"/>
      <w:szCs w:val="20"/>
      <w:lang w:val="ru-RU" w:eastAsia="ru-RU"/>
    </w:rPr>
  </w:style>
  <w:style w:type="character" w:customStyle="1" w:styleId="19">
    <w:name w:val="Текст примітки Знак19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8">
    <w:name w:val="Текст примітки Знак18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7">
    <w:name w:val="Текст примітки Знак17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6">
    <w:name w:val="Текст примітки Знак16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5">
    <w:name w:val="Текст примітки Знак15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4">
    <w:name w:val="Текст примітки Знак14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3">
    <w:name w:val="Текст примітки Знак13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2">
    <w:name w:val="Текст примітки Знак12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11">
    <w:name w:val="Текст примітки Знак11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ad">
    <w:name w:val="Тема примітки Знак"/>
    <w:basedOn w:val="ab"/>
    <w:link w:val="ae"/>
    <w:uiPriority w:val="99"/>
    <w:locked/>
    <w:rsid w:val="000E4541"/>
    <w:rPr>
      <w:rFonts w:cs="Times New Roman"/>
      <w:b/>
      <w:bCs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d"/>
    <w:uiPriority w:val="99"/>
    <w:rsid w:val="000E4541"/>
    <w:rPr>
      <w:b/>
      <w:bCs/>
    </w:rPr>
  </w:style>
  <w:style w:type="character" w:customStyle="1" w:styleId="10">
    <w:name w:val="Тема примітки Знак1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90">
    <w:name w:val="Тема примітки Знак19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80">
    <w:name w:val="Тема примітки Знак18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70">
    <w:name w:val="Тема примітки Знак17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60">
    <w:name w:val="Тема примітки Знак16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50">
    <w:name w:val="Тема примітки Знак15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40">
    <w:name w:val="Тема примітки Знак14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30">
    <w:name w:val="Тема примітки Знак13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20">
    <w:name w:val="Тема примітки Знак12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110">
    <w:name w:val="Тема примітки Знак11"/>
    <w:basedOn w:val="ab"/>
    <w:uiPriority w:val="99"/>
    <w:semiHidden/>
    <w:rPr>
      <w:rFonts w:cs="Times New Roman"/>
      <w:b/>
      <w:bCs/>
      <w:sz w:val="20"/>
      <w:szCs w:val="20"/>
      <w:lang w:val="ru-RU" w:eastAsia="ru-RU"/>
    </w:rPr>
  </w:style>
  <w:style w:type="character" w:customStyle="1" w:styleId="rvts9">
    <w:name w:val="rvts9"/>
    <w:rsid w:val="000E4541"/>
  </w:style>
  <w:style w:type="paragraph" w:customStyle="1" w:styleId="rvps2">
    <w:name w:val="rvps2"/>
    <w:basedOn w:val="a"/>
    <w:rsid w:val="000E454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FCDFD-6E8F-4413-851E-F75DF186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2834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2020-08-13T15:39:00Z</dcterms:created>
  <dcterms:modified xsi:type="dcterms:W3CDTF">2020-08-13T15:39:00Z</dcterms:modified>
</cp:coreProperties>
</file>