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220" w:rsidRPr="005E6C9A" w:rsidRDefault="00A3122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A31220" w:rsidRPr="005E6C9A" w:rsidRDefault="00A3122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A31220" w:rsidRPr="005E6C9A" w:rsidRDefault="002B3982">
      <w:pPr>
        <w:shd w:val="clear" w:color="auto" w:fill="FFFFFF"/>
        <w:ind w:left="450" w:right="450"/>
        <w:jc w:val="right"/>
        <w:textAlignment w:val="baseline"/>
        <w:rPr>
          <w:sz w:val="28"/>
          <w:szCs w:val="28"/>
        </w:rPr>
      </w:pPr>
      <w:r w:rsidRPr="005E6C9A">
        <w:rPr>
          <w:rFonts w:eastAsia="Times New Roman"/>
          <w:bCs/>
          <w:color w:val="000000"/>
          <w:sz w:val="28"/>
          <w:szCs w:val="28"/>
          <w:bdr w:val="none" w:sz="0" w:space="0" w:color="auto" w:frame="1"/>
        </w:rPr>
        <w:t>Додаток до пояснювальної записки</w:t>
      </w:r>
      <w:r w:rsidRPr="005E6C9A">
        <w:rPr>
          <w:sz w:val="28"/>
          <w:szCs w:val="28"/>
        </w:rPr>
        <w:t xml:space="preserve"> </w:t>
      </w:r>
    </w:p>
    <w:p w:rsidR="00A31220" w:rsidRPr="005E6C9A" w:rsidRDefault="002B3982">
      <w:pPr>
        <w:shd w:val="clear" w:color="auto" w:fill="FFFFFF"/>
        <w:ind w:left="450" w:right="450"/>
        <w:jc w:val="right"/>
        <w:textAlignment w:val="baseline"/>
        <w:rPr>
          <w:rFonts w:eastAsia="Times New Roman"/>
          <w:bCs/>
          <w:color w:val="000000"/>
          <w:sz w:val="28"/>
          <w:szCs w:val="28"/>
          <w:bdr w:val="none" w:sz="0" w:space="0" w:color="auto" w:frame="1"/>
        </w:rPr>
      </w:pPr>
      <w:r w:rsidRPr="005E6C9A">
        <w:rPr>
          <w:rFonts w:eastAsia="Times New Roman"/>
          <w:bCs/>
          <w:color w:val="000000"/>
          <w:sz w:val="28"/>
          <w:szCs w:val="28"/>
          <w:bdr w:val="none" w:sz="0" w:space="0" w:color="auto" w:frame="1"/>
        </w:rPr>
        <w:t xml:space="preserve">до проекту Закону України </w:t>
      </w:r>
    </w:p>
    <w:p w:rsidR="003B0D8B" w:rsidRPr="005E6C9A" w:rsidRDefault="002B3982" w:rsidP="003B0D8B">
      <w:pPr>
        <w:shd w:val="clear" w:color="auto" w:fill="FFFFFF"/>
        <w:ind w:left="450" w:right="450"/>
        <w:jc w:val="right"/>
        <w:textAlignment w:val="baseline"/>
        <w:rPr>
          <w:rFonts w:eastAsia="Times New Roman"/>
          <w:bCs/>
          <w:color w:val="000000"/>
          <w:sz w:val="28"/>
          <w:szCs w:val="28"/>
          <w:bdr w:val="none" w:sz="0" w:space="0" w:color="auto" w:frame="1"/>
        </w:rPr>
      </w:pPr>
      <w:r w:rsidRPr="005E6C9A">
        <w:rPr>
          <w:rFonts w:eastAsia="Times New Roman"/>
          <w:bCs/>
          <w:color w:val="000000"/>
          <w:sz w:val="28"/>
          <w:szCs w:val="28"/>
          <w:bdr w:val="none" w:sz="0" w:space="0" w:color="auto" w:frame="1"/>
        </w:rPr>
        <w:t>«</w:t>
      </w:r>
      <w:r w:rsidR="003B0D8B" w:rsidRPr="005E6C9A">
        <w:rPr>
          <w:rFonts w:eastAsia="Times New Roman"/>
          <w:bCs/>
          <w:color w:val="000000"/>
          <w:sz w:val="28"/>
          <w:szCs w:val="28"/>
          <w:bdr w:val="none" w:sz="0" w:space="0" w:color="auto" w:frame="1"/>
        </w:rPr>
        <w:t xml:space="preserve">Про внесення змін до деяких законодавчих актів України щодо запровадження </w:t>
      </w:r>
    </w:p>
    <w:p w:rsidR="00A31220" w:rsidRPr="005E6C9A" w:rsidRDefault="003B0D8B" w:rsidP="003B0D8B">
      <w:pPr>
        <w:shd w:val="clear" w:color="auto" w:fill="FFFFFF"/>
        <w:ind w:left="450" w:right="450"/>
        <w:jc w:val="right"/>
        <w:textAlignment w:val="baseline"/>
        <w:rPr>
          <w:sz w:val="28"/>
          <w:szCs w:val="28"/>
        </w:rPr>
      </w:pPr>
      <w:r w:rsidRPr="005E6C9A">
        <w:rPr>
          <w:rFonts w:eastAsia="Times New Roman"/>
          <w:bCs/>
          <w:color w:val="000000"/>
          <w:sz w:val="28"/>
          <w:szCs w:val="28"/>
          <w:bdr w:val="none" w:sz="0" w:space="0" w:color="auto" w:frame="1"/>
        </w:rPr>
        <w:t>на ринку природного газу обліку та розрахунків за обсягом газу в одиницях енергії</w:t>
      </w:r>
      <w:r w:rsidR="002B3982" w:rsidRPr="005E6C9A">
        <w:rPr>
          <w:sz w:val="28"/>
          <w:szCs w:val="28"/>
        </w:rPr>
        <w:t>»</w:t>
      </w:r>
    </w:p>
    <w:p w:rsidR="00A31220" w:rsidRPr="005E6C9A" w:rsidRDefault="00A31220">
      <w:pPr>
        <w:shd w:val="clear" w:color="auto" w:fill="FFFFFF"/>
        <w:ind w:left="450" w:right="450"/>
        <w:jc w:val="right"/>
        <w:textAlignment w:val="baseline"/>
        <w:rPr>
          <w:rFonts w:eastAsia="Times New Roman"/>
          <w:bCs/>
          <w:color w:val="000000"/>
          <w:sz w:val="28"/>
          <w:szCs w:val="28"/>
          <w:bdr w:val="none" w:sz="0" w:space="0" w:color="auto" w:frame="1"/>
        </w:rPr>
      </w:pPr>
    </w:p>
    <w:p w:rsidR="00A31220" w:rsidRPr="005E6C9A" w:rsidRDefault="00A31220">
      <w:pPr>
        <w:shd w:val="clear" w:color="auto" w:fill="FFFFFF"/>
        <w:ind w:right="450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A31220" w:rsidRPr="005E6C9A" w:rsidRDefault="002B398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5E6C9A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</w:rPr>
        <w:t>ПРОГНОЗ ВПЛИВУ </w:t>
      </w:r>
      <w:r w:rsidRPr="005E6C9A">
        <w:rPr>
          <w:rFonts w:eastAsia="Times New Roman"/>
          <w:color w:val="000000"/>
          <w:sz w:val="28"/>
          <w:szCs w:val="28"/>
        </w:rPr>
        <w:br/>
      </w:r>
      <w:r w:rsidRPr="005E6C9A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</w:rPr>
        <w:t>реалізації акта на ключові інтереси заінтересованих сторін</w:t>
      </w:r>
    </w:p>
    <w:p w:rsidR="00A31220" w:rsidRPr="005E6C9A" w:rsidRDefault="00A31220">
      <w:pPr>
        <w:shd w:val="clear" w:color="auto" w:fill="FFFFFF"/>
        <w:ind w:left="450" w:right="450"/>
        <w:jc w:val="center"/>
        <w:textAlignment w:val="baseline"/>
        <w:rPr>
          <w:rFonts w:eastAsia="Times New Roman"/>
          <w:color w:val="000000"/>
          <w:sz w:val="28"/>
          <w:szCs w:val="28"/>
        </w:rPr>
      </w:pPr>
    </w:p>
    <w:p w:rsidR="00A31220" w:rsidRPr="005E6C9A" w:rsidRDefault="002B398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bookmarkStart w:id="0" w:name="n115"/>
      <w:bookmarkStart w:id="1" w:name="n116"/>
      <w:bookmarkEnd w:id="0"/>
      <w:bookmarkEnd w:id="1"/>
      <w:r w:rsidRPr="005E6C9A">
        <w:rPr>
          <w:rFonts w:eastAsia="Times New Roman"/>
          <w:color w:val="000000"/>
          <w:sz w:val="28"/>
          <w:szCs w:val="28"/>
        </w:rPr>
        <w:t xml:space="preserve">1. Суттю проекту Закону є надання Кабінету Міністрів України права на запровадження розрахунків та балансування на ринку природного газу в одиницях енергії (перехід на розрахунки та балансування на ринку природного газу під час транспортування, зберігання, розподілу, видобування, купівлі-продажу, постачання та споживання природного газу, у тому числі між суб’єктами ринку природного газу та здійсненні митного контролю та митного оформлення під час переміщення природного газу через митний кордон України, в одиницях енергії). Перехід на енергетичні одиниці, що визначено положеннями Директиви 2006/32/ЄС, Регламенту (ЄС) № 715/2009, Закону України «Про ринок природного газу», кодексу газотранспортної системи та кодексу газорозподільних систем (передбачено необхідність  використання одиниць енергії, зокрема, при здійсненні  розрахунків за спожитий природний газ. В країнах Європейського Союзу облік природного газу здійснюється не в одиницях об’єму, а в одиницях енергії. Для забезпечення уніфікації роботи газового ринку України та країн ЄС необхідно вжити заходів щодо запровадження обліку газу в енергетичних показниках. </w:t>
      </w:r>
    </w:p>
    <w:p w:rsidR="00A31220" w:rsidRPr="005E6C9A" w:rsidRDefault="002B398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5E6C9A">
        <w:rPr>
          <w:rFonts w:eastAsia="Times New Roman"/>
          <w:color w:val="000000"/>
          <w:sz w:val="28"/>
          <w:szCs w:val="28"/>
        </w:rPr>
        <w:t>Також метою є здійснення митного контролю та митного оформлення під час переміщення природного газу через митний кордон України в одиницях енергії.</w:t>
      </w:r>
    </w:p>
    <w:p w:rsidR="00A31220" w:rsidRPr="005E6C9A" w:rsidRDefault="002B398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5E6C9A">
        <w:rPr>
          <w:rFonts w:eastAsia="Times New Roman"/>
          <w:color w:val="000000"/>
          <w:sz w:val="28"/>
          <w:szCs w:val="28"/>
        </w:rPr>
        <w:t>2. Вплив на ключові інтереси усіх заінтересованих сторін відображено у таблиці нижче.</w:t>
      </w:r>
    </w:p>
    <w:tbl>
      <w:tblPr>
        <w:tblStyle w:val="a3"/>
        <w:tblW w:w="14459" w:type="dxa"/>
        <w:tblInd w:w="137" w:type="dxa"/>
        <w:tblLook w:val="04A0" w:firstRow="1" w:lastRow="0" w:firstColumn="1" w:lastColumn="0" w:noHBand="0" w:noVBand="1"/>
      </w:tblPr>
      <w:tblGrid>
        <w:gridCol w:w="2143"/>
        <w:gridCol w:w="3178"/>
        <w:gridCol w:w="2585"/>
        <w:gridCol w:w="2936"/>
        <w:gridCol w:w="3617"/>
      </w:tblGrid>
      <w:tr w:rsidR="00A31220" w:rsidRPr="005E6C9A">
        <w:tc>
          <w:tcPr>
            <w:tcW w:w="1985" w:type="dxa"/>
            <w:vMerge w:val="restart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b/>
                <w:color w:val="000000"/>
                <w:sz w:val="28"/>
                <w:szCs w:val="28"/>
              </w:rPr>
              <w:t>Заінтересована сторона</w:t>
            </w:r>
          </w:p>
        </w:tc>
        <w:tc>
          <w:tcPr>
            <w:tcW w:w="3260" w:type="dxa"/>
            <w:vMerge w:val="restart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b/>
                <w:color w:val="000000"/>
                <w:sz w:val="28"/>
                <w:szCs w:val="28"/>
              </w:rPr>
              <w:t>Ключовий інтерес</w:t>
            </w:r>
          </w:p>
        </w:tc>
        <w:tc>
          <w:tcPr>
            <w:tcW w:w="5389" w:type="dxa"/>
            <w:gridSpan w:val="2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b/>
                <w:color w:val="000000"/>
                <w:sz w:val="28"/>
                <w:szCs w:val="28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 (у числовому або якісному вимірі)</w:t>
            </w:r>
          </w:p>
        </w:tc>
        <w:tc>
          <w:tcPr>
            <w:tcW w:w="3825" w:type="dxa"/>
            <w:vMerge w:val="restart"/>
          </w:tcPr>
          <w:p w:rsidR="00A31220" w:rsidRPr="005E6C9A" w:rsidRDefault="002B3982">
            <w:pPr>
              <w:jc w:val="both"/>
              <w:rPr>
                <w:b/>
                <w:sz w:val="28"/>
                <w:szCs w:val="28"/>
              </w:rPr>
            </w:pPr>
            <w:r w:rsidRPr="005E6C9A">
              <w:rPr>
                <w:b/>
                <w:sz w:val="28"/>
                <w:szCs w:val="28"/>
              </w:rPr>
              <w:t>Пояснення (чому саме реалізація акта призведе до очікуваного впливу)</w:t>
            </w:r>
          </w:p>
        </w:tc>
      </w:tr>
      <w:tr w:rsidR="00A31220" w:rsidRPr="005E6C9A">
        <w:tc>
          <w:tcPr>
            <w:tcW w:w="1985" w:type="dxa"/>
            <w:vMerge/>
          </w:tcPr>
          <w:p w:rsidR="00A31220" w:rsidRPr="005E6C9A" w:rsidRDefault="00A31220">
            <w:pPr>
              <w:jc w:val="both"/>
              <w:textAlignment w:val="baseline"/>
              <w:rPr>
                <w:rFonts w:eastAsia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A31220" w:rsidRPr="005E6C9A" w:rsidRDefault="00A31220">
            <w:pPr>
              <w:jc w:val="both"/>
              <w:textAlignment w:val="baseline"/>
              <w:rPr>
                <w:rFonts w:eastAsia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A31220" w:rsidRPr="005E6C9A" w:rsidRDefault="002B3982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b/>
                <w:color w:val="000000"/>
                <w:sz w:val="28"/>
                <w:szCs w:val="28"/>
              </w:rPr>
              <w:t>короткостроковий вплив (до року)</w:t>
            </w:r>
          </w:p>
        </w:tc>
        <w:tc>
          <w:tcPr>
            <w:tcW w:w="2979" w:type="dxa"/>
          </w:tcPr>
          <w:p w:rsidR="00A31220" w:rsidRPr="005E6C9A" w:rsidRDefault="002B3982">
            <w:pPr>
              <w:jc w:val="center"/>
              <w:rPr>
                <w:b/>
                <w:sz w:val="28"/>
                <w:szCs w:val="28"/>
              </w:rPr>
            </w:pPr>
            <w:r w:rsidRPr="005E6C9A">
              <w:rPr>
                <w:b/>
                <w:sz w:val="28"/>
                <w:szCs w:val="28"/>
              </w:rPr>
              <w:t>середньостроковий вплив (більше року)</w:t>
            </w:r>
          </w:p>
        </w:tc>
        <w:tc>
          <w:tcPr>
            <w:tcW w:w="3825" w:type="dxa"/>
            <w:vMerge/>
          </w:tcPr>
          <w:p w:rsidR="00A31220" w:rsidRPr="005E6C9A" w:rsidRDefault="00A31220">
            <w:pPr>
              <w:jc w:val="both"/>
              <w:textAlignment w:val="baseline"/>
              <w:rPr>
                <w:rFonts w:eastAsia="Times New Roman"/>
                <w:b/>
                <w:color w:val="000000"/>
                <w:sz w:val="28"/>
                <w:szCs w:val="28"/>
              </w:rPr>
            </w:pPr>
          </w:p>
        </w:tc>
      </w:tr>
      <w:tr w:rsidR="00A31220" w:rsidRPr="005E6C9A">
        <w:tc>
          <w:tcPr>
            <w:tcW w:w="1985" w:type="dxa"/>
          </w:tcPr>
          <w:p w:rsidR="00A31220" w:rsidRPr="005E6C9A" w:rsidRDefault="00A31220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  <w:lang w:val="en-US"/>
              </w:rPr>
              <w:t>Cпоживачі природного газу</w:t>
            </w:r>
          </w:p>
        </w:tc>
        <w:tc>
          <w:tcPr>
            <w:tcW w:w="3260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аналіз сукупного споживання енергоносіїв, у т.ч. порівняння з типовими обсягами споживання;</w:t>
            </w: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підвищення рівня енергоефективності;</w:t>
            </w: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прийняття рішень щодо оптимального джерела покриття потреб в енергоносіях.</w:t>
            </w:r>
          </w:p>
        </w:tc>
        <w:tc>
          <w:tcPr>
            <w:tcW w:w="2410" w:type="dxa"/>
          </w:tcPr>
          <w:p w:rsidR="00A31220" w:rsidRPr="005E6C9A" w:rsidRDefault="00A31220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 xml:space="preserve">Позитивний </w:t>
            </w:r>
            <w:r w:rsidRPr="005E6C9A">
              <w:rPr>
                <w:rFonts w:eastAsia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2979" w:type="dxa"/>
          </w:tcPr>
          <w:p w:rsidR="00A31220" w:rsidRPr="005E6C9A" w:rsidRDefault="00A31220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 xml:space="preserve">Позитивний </w:t>
            </w:r>
          </w:p>
        </w:tc>
        <w:tc>
          <w:tcPr>
            <w:tcW w:w="3825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розрахунок газу в енергетичних одиницях дозволить легко порівняти економічну вигоду використання ресурсу поряд з іншими видами палива (твердопаливний котел, електроенергія, тощо) та економніше споживати сам ресурс;</w:t>
            </w: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облік газу стане об’єктивнішим, адже в одному метрі кубічному може міститися різна кількість калорій (джоулів чи кіловат-годин), що залежить від температури повітря, тиску та складу газу. В енергетичних одиницях вимірюється кількість тепла, яке виділяється під час повного згоряння певного об’єму природного газу;</w:t>
            </w: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можливість взаємозалежності розміру плати від якості енергоресурсу.</w:t>
            </w:r>
          </w:p>
        </w:tc>
      </w:tr>
      <w:tr w:rsidR="00A31220" w:rsidRPr="005E6C9A">
        <w:tc>
          <w:tcPr>
            <w:tcW w:w="1985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Оператор ГТС</w:t>
            </w:r>
          </w:p>
        </w:tc>
        <w:tc>
          <w:tcPr>
            <w:tcW w:w="3260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 xml:space="preserve">Оператор ГТС розміщує на власному сайті маршрути визначення фізико-хімічних </w:t>
            </w:r>
            <w:r w:rsidRPr="005E6C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показників газу та забезпечує їх актуалізацію на постійній основі;</w:t>
            </w: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Оператор ГТС передає операторам газорозподільних систем диспетчерськими каналами зв’язку, оперативні дані щодо розміру середньозваженої вищої теплоти згоряння природного газу за кожним маршрутом;</w:t>
            </w: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Оператор ГТС публікує на власному сайті фактичні дані щодо розміру середньозваженої вищої теплоти згоряння природного газу за кожним маршрутом.</w:t>
            </w:r>
          </w:p>
        </w:tc>
        <w:tc>
          <w:tcPr>
            <w:tcW w:w="2410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Позитивний</w:t>
            </w:r>
          </w:p>
        </w:tc>
        <w:tc>
          <w:tcPr>
            <w:tcW w:w="2979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Позитивний</w:t>
            </w:r>
          </w:p>
        </w:tc>
        <w:tc>
          <w:tcPr>
            <w:tcW w:w="3825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 xml:space="preserve">запровадження комерційного обліку природного газу при його транспортуванні в одиницях </w:t>
            </w:r>
            <w:r w:rsidRPr="005E6C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енергії, а саме в кВт/год. Впровадження такої практики дозволить привести систему комерційних розрахунків України за газ у відповідність з третім енергетичним пакетом Європейського Союзу.</w:t>
            </w:r>
          </w:p>
        </w:tc>
      </w:tr>
      <w:tr w:rsidR="00A31220" w:rsidRPr="005E6C9A">
        <w:tc>
          <w:tcPr>
            <w:tcW w:w="1985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Оператори ГРМ</w:t>
            </w:r>
          </w:p>
        </w:tc>
        <w:tc>
          <w:tcPr>
            <w:tcW w:w="3260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 xml:space="preserve">Усі Оператори ГРМ оприлюднюють на своїх сайтах інформацію про усі наявні маршрути транспортування газу з однаковими фізико-хімічними показниками (тобто однакової якості) </w:t>
            </w:r>
            <w:r w:rsidRPr="005E6C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 xml:space="preserve">- від газорозподільної станції </w:t>
            </w: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(чи декількох станції) до газифікованого населеного пункту чи навіть конкретного багатоквартирного будинку (якщо в межах населеного пункту газ до споживачів надходить з різних джерел та різної якості).</w:t>
            </w: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 xml:space="preserve">За кожним таким маршрутом для розрахункового періоду обчислюється середньозважене значення вищої теплоти згоряння природного газу Hcз. </w:t>
            </w:r>
          </w:p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Інформація про розмір середньозваженої теплоти згорання газу за маршрутом його переміщення Оператор ГРМ щомісяця оприлюднює на своєму сайті.</w:t>
            </w:r>
          </w:p>
        </w:tc>
        <w:tc>
          <w:tcPr>
            <w:tcW w:w="2410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Позитивний</w:t>
            </w:r>
          </w:p>
        </w:tc>
        <w:tc>
          <w:tcPr>
            <w:tcW w:w="2979" w:type="dxa"/>
          </w:tcPr>
          <w:p w:rsidR="00A31220" w:rsidRPr="005E6C9A" w:rsidRDefault="002B3982">
            <w:pPr>
              <w:jc w:val="both"/>
              <w:textAlignment w:val="baseline"/>
              <w:rPr>
                <w:rFonts w:eastAsia="Times New Roman"/>
                <w:color w:val="000000"/>
                <w:sz w:val="28"/>
                <w:szCs w:val="28"/>
              </w:rPr>
            </w:pPr>
            <w:r w:rsidRPr="005E6C9A">
              <w:rPr>
                <w:rFonts w:eastAsia="Times New Roman"/>
                <w:color w:val="000000"/>
                <w:sz w:val="28"/>
                <w:szCs w:val="28"/>
              </w:rPr>
              <w:t>Позитивний</w:t>
            </w:r>
          </w:p>
        </w:tc>
        <w:tc>
          <w:tcPr>
            <w:tcW w:w="3825" w:type="dxa"/>
          </w:tcPr>
          <w:p w:rsidR="00A31220" w:rsidRPr="005E6C9A" w:rsidRDefault="002B3982">
            <w:pPr>
              <w:jc w:val="both"/>
              <w:textAlignment w:val="baseline"/>
              <w:rPr>
                <w:sz w:val="28"/>
                <w:szCs w:val="28"/>
              </w:rPr>
            </w:pPr>
            <w:r w:rsidRPr="005E6C9A">
              <w:rPr>
                <w:sz w:val="28"/>
                <w:szCs w:val="28"/>
              </w:rPr>
              <w:t xml:space="preserve">Забезпечення виконання постанови НКРЕКП від 26.01.2017  № 84 «Про затвердження змін до деяких постанов НКРЕКП щодо запровадження на ринку природного газу використання одиниць енергії» в частині того, що </w:t>
            </w:r>
            <w:r w:rsidRPr="005E6C9A">
              <w:rPr>
                <w:sz w:val="28"/>
                <w:szCs w:val="28"/>
              </w:rPr>
              <w:lastRenderedPageBreak/>
              <w:t>споживач зможе дізнатись маршрут для своєї адреси та середньозважене значення вищої теплоти згоряння природного газу H</w:t>
            </w:r>
            <w:r w:rsidRPr="005E6C9A">
              <w:rPr>
                <w:sz w:val="28"/>
                <w:szCs w:val="28"/>
                <w:vertAlign w:val="subscript"/>
              </w:rPr>
              <w:t>cз</w:t>
            </w:r>
            <w:r w:rsidRPr="005E6C9A">
              <w:rPr>
                <w:sz w:val="28"/>
                <w:szCs w:val="28"/>
              </w:rPr>
              <w:t xml:space="preserve"> для цього маршруту для кожного місяця (розрахункового періоду)</w:t>
            </w:r>
          </w:p>
        </w:tc>
      </w:tr>
    </w:tbl>
    <w:p w:rsidR="00307314" w:rsidRPr="005E6C9A" w:rsidRDefault="00307314" w:rsidP="00307314">
      <w:pPr>
        <w:tabs>
          <w:tab w:val="left" w:pos="540"/>
        </w:tabs>
        <w:spacing w:line="276" w:lineRule="auto"/>
        <w:jc w:val="both"/>
        <w:rPr>
          <w:b/>
          <w:sz w:val="28"/>
          <w:szCs w:val="28"/>
        </w:rPr>
      </w:pPr>
    </w:p>
    <w:p w:rsidR="00307314" w:rsidRPr="005E6C9A" w:rsidRDefault="00307314" w:rsidP="00307314">
      <w:pPr>
        <w:tabs>
          <w:tab w:val="left" w:pos="540"/>
        </w:tabs>
        <w:spacing w:line="276" w:lineRule="auto"/>
        <w:jc w:val="both"/>
        <w:rPr>
          <w:b/>
          <w:sz w:val="28"/>
          <w:szCs w:val="28"/>
        </w:rPr>
      </w:pPr>
      <w:r w:rsidRPr="005E6C9A">
        <w:rPr>
          <w:b/>
          <w:sz w:val="28"/>
          <w:szCs w:val="28"/>
        </w:rPr>
        <w:t>Народні депутати України</w:t>
      </w:r>
    </w:p>
    <w:p w:rsidR="00307314" w:rsidRPr="005E6C9A" w:rsidRDefault="00307314" w:rsidP="00307314">
      <w:pPr>
        <w:widowControl w:val="0"/>
        <w:autoSpaceDE w:val="0"/>
        <w:autoSpaceDN w:val="0"/>
        <w:adjustRightInd w:val="0"/>
        <w:spacing w:line="276" w:lineRule="auto"/>
        <w:ind w:right="2"/>
        <w:rPr>
          <w:b/>
          <w:bCs/>
          <w:sz w:val="28"/>
          <w:szCs w:val="28"/>
        </w:rPr>
      </w:pPr>
    </w:p>
    <w:p w:rsidR="00A31220" w:rsidRPr="005E6C9A" w:rsidRDefault="00307314" w:rsidP="005E6C9A">
      <w:pPr>
        <w:widowControl w:val="0"/>
        <w:autoSpaceDE w:val="0"/>
        <w:autoSpaceDN w:val="0"/>
        <w:adjustRightInd w:val="0"/>
        <w:spacing w:line="276" w:lineRule="auto"/>
        <w:ind w:right="2"/>
        <w:rPr>
          <w:b/>
          <w:bCs/>
          <w:sz w:val="28"/>
          <w:szCs w:val="28"/>
        </w:rPr>
      </w:pPr>
      <w:r w:rsidRPr="005E6C9A">
        <w:rPr>
          <w:b/>
          <w:bCs/>
          <w:sz w:val="28"/>
          <w:szCs w:val="28"/>
        </w:rPr>
        <w:t>Жупанин А.В.</w:t>
      </w:r>
      <w:bookmarkStart w:id="2" w:name="_GoBack"/>
      <w:bookmarkEnd w:id="2"/>
    </w:p>
    <w:sectPr w:rsidR="00A31220" w:rsidRPr="005E6C9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72A9D"/>
    <w:multiLevelType w:val="hybridMultilevel"/>
    <w:tmpl w:val="03866D32"/>
    <w:lvl w:ilvl="0" w:tplc="E554897C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220"/>
    <w:rsid w:val="002B3982"/>
    <w:rsid w:val="00307314"/>
    <w:rsid w:val="003B0D8B"/>
    <w:rsid w:val="005E6C9A"/>
    <w:rsid w:val="00A3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C2CC2-590A-4160-A491-FA5A00FB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Pr>
      <w:rFonts w:ascii="Segoe UI" w:eastAsia="Calibri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3061</Words>
  <Characters>1745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Рамазанов Владислав</dc:creator>
  <cp:keywords/>
  <dc:description/>
  <cp:lastModifiedBy>Жупанин Андрій Вікторович</cp:lastModifiedBy>
  <cp:revision>4</cp:revision>
  <cp:lastPrinted>2019-12-02T13:37:00Z</cp:lastPrinted>
  <dcterms:created xsi:type="dcterms:W3CDTF">2019-12-05T14:46:00Z</dcterms:created>
  <dcterms:modified xsi:type="dcterms:W3CDTF">2019-12-05T15:07:00Z</dcterms:modified>
</cp:coreProperties>
</file>