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2B6C09">
      <w:pPr>
        <w:pStyle w:val="10"/>
        <w:keepNext/>
        <w:keepLines/>
        <w:shd w:val="clear" w:color="auto" w:fill="auto"/>
        <w:bidi w:val="0"/>
        <w:ind w:left="567" w:right="185"/>
        <w:rPr>
          <w:rFonts w:ascii="Times New Roman" w:hAnsi="Times New Roman"/>
          <w:sz w:val="28"/>
          <w:szCs w:val="28"/>
        </w:rPr>
      </w:pPr>
      <w:bookmarkStart w:id="0" w:name="bookmark0"/>
    </w:p>
    <w:p w:rsidR="002B6C09">
      <w:pPr>
        <w:pStyle w:val="10"/>
        <w:keepNext/>
        <w:keepLines/>
        <w:shd w:val="clear" w:color="auto" w:fill="auto"/>
        <w:bidi w:val="0"/>
        <w:ind w:left="567" w:right="185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8"/>
          <w:szCs w:val="28"/>
        </w:rPr>
        <w:t>ПОЯСНЮВАЛЬНА ЗАПИСКА</w:t>
      </w:r>
      <w:bookmarkEnd w:id="0"/>
    </w:p>
    <w:p w:rsidR="002B6C09">
      <w:pPr>
        <w:pStyle w:val="10"/>
        <w:keepNext/>
        <w:keepLines/>
        <w:shd w:val="clear" w:color="auto" w:fill="auto"/>
        <w:bidi w:val="0"/>
        <w:ind w:left="567" w:right="185"/>
        <w:rPr>
          <w:rFonts w:ascii="Times New Roman" w:hAnsi="Times New Roman"/>
          <w:sz w:val="16"/>
          <w:szCs w:val="16"/>
        </w:rPr>
      </w:pPr>
    </w:p>
    <w:p w:rsidR="002B6C09">
      <w:pPr>
        <w:pStyle w:val="30"/>
        <w:shd w:val="clear" w:color="auto" w:fill="auto"/>
        <w:bidi w:val="0"/>
        <w:spacing w:after="0" w:line="240" w:lineRule="auto"/>
        <w:ind w:right="-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 проекту Закону України Про внесення змін </w:t>
      </w:r>
    </w:p>
    <w:p w:rsidR="002B6C09">
      <w:pPr>
        <w:pStyle w:val="30"/>
        <w:shd w:val="clear" w:color="auto" w:fill="auto"/>
        <w:bidi w:val="0"/>
        <w:spacing w:after="0" w:line="240" w:lineRule="auto"/>
        <w:ind w:right="-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 Закону України «Про Державний бюджет України на 2019 рік» </w:t>
      </w:r>
    </w:p>
    <w:p w:rsidR="002B6C09">
      <w:pPr>
        <w:pStyle w:val="30"/>
        <w:shd w:val="clear" w:color="auto" w:fill="auto"/>
        <w:bidi w:val="0"/>
        <w:spacing w:after="0" w:line="240" w:lineRule="auto"/>
        <w:ind w:right="-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щодо</w:t>
      </w:r>
      <w:bookmarkStart w:id="1" w:name="bookmark1"/>
      <w:r>
        <w:rPr>
          <w:rFonts w:ascii="Times New Roman" w:hAnsi="Times New Roman"/>
          <w:sz w:val="28"/>
          <w:szCs w:val="28"/>
        </w:rPr>
        <w:t xml:space="preserve"> збільшення видатків за бюджетною програмою</w:t>
      </w:r>
    </w:p>
    <w:p w:rsidR="002B6C09">
      <w:pPr>
        <w:pStyle w:val="30"/>
        <w:shd w:val="clear" w:color="auto" w:fill="auto"/>
        <w:bidi w:val="0"/>
        <w:spacing w:after="0" w:line="240" w:lineRule="auto"/>
        <w:ind w:right="-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«Реструктуризація вугільної галузі»</w:t>
      </w:r>
    </w:p>
    <w:p w:rsidR="002B6C09">
      <w:pPr>
        <w:pStyle w:val="30"/>
        <w:shd w:val="clear" w:color="auto" w:fill="auto"/>
        <w:bidi w:val="0"/>
        <w:spacing w:after="0" w:line="240" w:lineRule="auto"/>
        <w:ind w:right="-8"/>
        <w:rPr>
          <w:rFonts w:ascii="Times New Roman" w:hAnsi="Times New Roman"/>
          <w:sz w:val="16"/>
          <w:szCs w:val="16"/>
        </w:rPr>
      </w:pPr>
    </w:p>
    <w:p w:rsidR="002B6C09">
      <w:pPr>
        <w:pStyle w:val="30"/>
        <w:numPr>
          <w:numId w:val="9"/>
        </w:numPr>
        <w:shd w:val="clear" w:color="auto" w:fill="auto"/>
        <w:bidi w:val="0"/>
        <w:spacing w:after="244"/>
        <w:ind w:left="0" w:right="-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Обґрунтування необхідності прийняття проекту Закону</w:t>
      </w:r>
      <w:bookmarkEnd w:id="1"/>
    </w:p>
    <w:p w:rsidR="002B6C09">
      <w:pPr>
        <w:pStyle w:val="30"/>
        <w:shd w:val="clear" w:color="auto" w:fill="auto"/>
        <w:bidi w:val="0"/>
        <w:spacing w:after="0"/>
        <w:ind w:right="-8" w:firstLine="709"/>
        <w:jc w:val="both"/>
        <w:rPr>
          <w:rFonts w:ascii="Times New Roman" w:hAnsi="Times New Roman"/>
          <w:b w:val="0"/>
          <w:sz w:val="16"/>
          <w:szCs w:val="16"/>
        </w:rPr>
      </w:pPr>
      <w:r>
        <w:rPr>
          <w:rFonts w:ascii="Times New Roman" w:hAnsi="Times New Roman"/>
          <w:b w:val="0"/>
          <w:sz w:val="28"/>
          <w:szCs w:val="28"/>
        </w:rPr>
        <w:t>Вкрай незадовільний стан державних підприємств вугільної галузі зумовлено наявністю та взаємодією протягом тривалого періоду ряду факторів, які за своєю природою мають як об’єктивний, так суб’єктивний характер.</w:t>
      </w:r>
    </w:p>
    <w:p w:rsidR="002B6C09">
      <w:pPr>
        <w:pStyle w:val="30"/>
        <w:shd w:val="clear" w:color="auto" w:fill="auto"/>
        <w:bidi w:val="0"/>
        <w:spacing w:after="0"/>
        <w:ind w:right="-8"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Перш за все, це вкрай недостатні обсяги капітальних вкладень в нове будівництво та відсутність необхідних фінансових коштів на технічне переоснащення вугільних підприємств, приведення до існуючих технічних вимог стану стаціонарних установ і обладнання, придбання та впровадження сучасної високопродуктивної очисної та прохідницької техніки, транспортних засобів, а також новітніх технологій  ведення видобутку вугілля.</w:t>
      </w:r>
    </w:p>
    <w:p w:rsidR="002B6C09">
      <w:pPr>
        <w:pStyle w:val="30"/>
        <w:shd w:val="clear" w:color="auto" w:fill="auto"/>
        <w:bidi w:val="0"/>
        <w:spacing w:after="0"/>
        <w:ind w:right="-8"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На цей час понад 90% шахт, які знаходяться в сфері управління Міненерговугілля України, працюють без реконструкції і майже дві третини з них відпрацювали свій технічний термін. В тому числі, 15 шахт працює зі строком експлуатації від 50-ти до 70-ти років, а 11 шахт - вже понад 70 років. Із 7 тисяч одиниць основного стаціонарного устаткування - дві третини також відпрацювали свій нормативний строк експлуатації. В цілому вимагають заміни третина парку підйомних машин, конвеєрів, а також чверть вентиляторів головного провітрювання. Підлягають невідкладній заміні тисячі кілометрів водовідливних повітряних і протипожежних трубопроводів, підйомних канатів, рейкових провідників у вертикальних стовбурах</w:t>
      </w:r>
      <w:r>
        <w:rPr>
          <w:rFonts w:ascii="Times New Roman" w:hAnsi="Times New Roman"/>
          <w:b w:val="0"/>
          <w:sz w:val="28"/>
          <w:szCs w:val="28"/>
        </w:rPr>
        <w:t xml:space="preserve">¸ </w:t>
      </w:r>
      <w:r>
        <w:rPr>
          <w:rFonts w:ascii="Times New Roman" w:hAnsi="Times New Roman"/>
          <w:b w:val="0"/>
          <w:sz w:val="28"/>
          <w:szCs w:val="28"/>
        </w:rPr>
        <w:t xml:space="preserve">а також понад 100 одиниць підвісних, причіпних та парашутних пристроїв, біля 40 шахтних клітей і скипів, а також більше 10-ти тисяч різного електротехнічного і енергетичного обладнання. </w:t>
      </w:r>
    </w:p>
    <w:p w:rsidR="002B6C09">
      <w:pPr>
        <w:pStyle w:val="30"/>
        <w:shd w:val="clear" w:color="auto" w:fill="auto"/>
        <w:bidi w:val="0"/>
        <w:spacing w:after="0"/>
        <w:ind w:right="-8"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Важливим чинником наявного кризового стану вугільної промисловості України є втрата кадрового потенціалу вугільної галузі та висока соціальна напруга в трудових колективах через падіння престижності шахтарської праці, скасування ряду раніше існуючих соціальних пільг і гарантій та невідповідність рівня трудових затрат і заробітних плат шахтарів, яка останнім часом відносно інших професій значно зменшилась і строки виплати якої весь час порушуються, а обсяги заборгованості з неї - постійно високі та станом на </w:t>
      </w:r>
      <w:r w:rsidR="00D859C5">
        <w:rPr>
          <w:rFonts w:ascii="Times New Roman" w:hAnsi="Times New Roman"/>
          <w:b w:val="0"/>
          <w:sz w:val="28"/>
          <w:szCs w:val="28"/>
        </w:rPr>
        <w:t>14 листопада</w:t>
      </w:r>
      <w:r w:rsidR="00937D88">
        <w:rPr>
          <w:rFonts w:ascii="Times New Roman" w:hAnsi="Times New Roman"/>
          <w:b w:val="0"/>
          <w:sz w:val="28"/>
          <w:szCs w:val="28"/>
        </w:rPr>
        <w:t xml:space="preserve"> 2019 року</w:t>
      </w:r>
      <w:r w:rsidR="00D859C5">
        <w:rPr>
          <w:rFonts w:ascii="Times New Roman" w:hAnsi="Times New Roman"/>
          <w:b w:val="0"/>
          <w:sz w:val="28"/>
          <w:szCs w:val="28"/>
        </w:rPr>
        <w:t xml:space="preserve"> складає понад 588</w:t>
      </w:r>
      <w:r>
        <w:rPr>
          <w:rFonts w:ascii="Times New Roman" w:hAnsi="Times New Roman"/>
          <w:b w:val="0"/>
          <w:sz w:val="28"/>
          <w:szCs w:val="28"/>
        </w:rPr>
        <w:t xml:space="preserve"> млн. гривень</w:t>
      </w:r>
      <w:bookmarkStart w:id="2" w:name="bookmark2"/>
      <w:r>
        <w:rPr>
          <w:rFonts w:ascii="Times New Roman" w:hAnsi="Times New Roman"/>
          <w:b w:val="0"/>
          <w:sz w:val="28"/>
          <w:szCs w:val="28"/>
        </w:rPr>
        <w:t>.</w:t>
      </w:r>
    </w:p>
    <w:p w:rsidR="002B6C09">
      <w:pPr>
        <w:pStyle w:val="30"/>
        <w:shd w:val="clear" w:color="auto" w:fill="auto"/>
        <w:bidi w:val="0"/>
        <w:spacing w:after="0" w:line="240" w:lineRule="auto"/>
        <w:ind w:right="185"/>
        <w:rPr>
          <w:rFonts w:ascii="Times New Roman" w:hAnsi="Times New Roman"/>
          <w:sz w:val="28"/>
          <w:szCs w:val="28"/>
        </w:rPr>
      </w:pPr>
    </w:p>
    <w:p w:rsidR="002B6C09">
      <w:pPr>
        <w:pStyle w:val="30"/>
        <w:shd w:val="clear" w:color="auto" w:fill="auto"/>
        <w:bidi w:val="0"/>
        <w:spacing w:after="0" w:line="240" w:lineRule="auto"/>
        <w:ind w:right="-8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Цілі та завдання проекту Закон</w:t>
      </w:r>
      <w:bookmarkEnd w:id="2"/>
      <w:r>
        <w:rPr>
          <w:rFonts w:ascii="Times New Roman" w:hAnsi="Times New Roman"/>
          <w:sz w:val="28"/>
          <w:szCs w:val="28"/>
        </w:rPr>
        <w:t>у</w:t>
      </w:r>
    </w:p>
    <w:p w:rsidR="002B6C09">
      <w:pPr>
        <w:pStyle w:val="30"/>
        <w:shd w:val="clear" w:color="auto" w:fill="auto"/>
        <w:bidi w:val="0"/>
        <w:spacing w:after="0" w:line="240" w:lineRule="auto"/>
        <w:ind w:right="-8"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Метою прийняття даного акту є забезпечення </w:t>
      </w:r>
      <w:r w:rsidR="00937D88">
        <w:rPr>
          <w:rFonts w:ascii="Times New Roman" w:hAnsi="Times New Roman"/>
          <w:b w:val="0"/>
          <w:sz w:val="28"/>
          <w:szCs w:val="28"/>
        </w:rPr>
        <w:t xml:space="preserve">бодай мінімального рівня </w:t>
      </w:r>
      <w:r>
        <w:rPr>
          <w:rFonts w:ascii="Times New Roman" w:hAnsi="Times New Roman"/>
          <w:b w:val="0"/>
          <w:sz w:val="28"/>
          <w:szCs w:val="28"/>
        </w:rPr>
        <w:t>належної державної фінансової підтримки державних вугледобувних підприємств, які знаходяться у кризовому стані, на потреби реструктуризації шахт, проведення їх технічного переоснащення та забезпечення сталої і в повному обсязі виплати заробітної плати шахтарям і невідкладного погашення наявної заборгованості з неї.</w:t>
      </w:r>
    </w:p>
    <w:p w:rsidR="002B6C09">
      <w:pPr>
        <w:pStyle w:val="10"/>
        <w:keepNext/>
        <w:keepLines/>
        <w:shd w:val="clear" w:color="auto" w:fill="auto"/>
        <w:bidi w:val="0"/>
        <w:ind w:right="-8"/>
        <w:rPr>
          <w:rFonts w:ascii="Times New Roman" w:hAnsi="Times New Roman"/>
          <w:sz w:val="28"/>
          <w:szCs w:val="28"/>
        </w:rPr>
      </w:pPr>
      <w:bookmarkStart w:id="3" w:name="bookmark3"/>
      <w:r>
        <w:rPr>
          <w:rFonts w:ascii="Times New Roman" w:hAnsi="Times New Roman"/>
          <w:sz w:val="28"/>
          <w:szCs w:val="28"/>
        </w:rPr>
        <w:t>3. Загальна характеристика і основні положення проекту Закону</w:t>
      </w:r>
      <w:bookmarkEnd w:id="3"/>
    </w:p>
    <w:p w:rsidR="002B6C09">
      <w:pPr>
        <w:pStyle w:val="211"/>
        <w:shd w:val="clear" w:color="auto" w:fill="auto"/>
        <w:bidi w:val="0"/>
        <w:spacing w:line="312" w:lineRule="exact"/>
        <w:ind w:right="-8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 законопроекті пропонується збільшити видатки Державного бюджету України на 2019 рік з</w:t>
      </w:r>
      <w:r w:rsidR="00CF5FB8">
        <w:rPr>
          <w:rFonts w:ascii="Times New Roman" w:hAnsi="Times New Roman"/>
          <w:sz w:val="28"/>
          <w:szCs w:val="28"/>
        </w:rPr>
        <w:t>а бюджетною програмою (КПКВК) 24</w:t>
      </w:r>
      <w:r>
        <w:rPr>
          <w:rFonts w:ascii="Times New Roman" w:hAnsi="Times New Roman"/>
          <w:sz w:val="28"/>
          <w:szCs w:val="28"/>
        </w:rPr>
        <w:t xml:space="preserve">01590 «Реструктуризація вугільної галузі» на </w:t>
      </w:r>
      <w:r w:rsidR="00937D88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 </w:t>
      </w:r>
      <w:r w:rsidR="00937D88">
        <w:rPr>
          <w:rFonts w:ascii="Times New Roman" w:hAnsi="Times New Roman"/>
          <w:sz w:val="28"/>
          <w:szCs w:val="28"/>
        </w:rPr>
        <w:t>000</w:t>
      </w:r>
      <w:r>
        <w:rPr>
          <w:rFonts w:ascii="Times New Roman" w:hAnsi="Times New Roman"/>
          <w:sz w:val="28"/>
          <w:szCs w:val="28"/>
        </w:rPr>
        <w:t xml:space="preserve"> 000,0 тис. грн, що дозволить здійснити </w:t>
      </w:r>
      <w:r w:rsidR="00937D88">
        <w:rPr>
          <w:rFonts w:ascii="Times New Roman" w:hAnsi="Times New Roman"/>
          <w:sz w:val="28"/>
          <w:szCs w:val="28"/>
        </w:rPr>
        <w:t>окремі</w:t>
      </w:r>
      <w:r>
        <w:rPr>
          <w:rFonts w:ascii="Times New Roman" w:hAnsi="Times New Roman"/>
          <w:sz w:val="28"/>
          <w:szCs w:val="28"/>
        </w:rPr>
        <w:t xml:space="preserve"> технічні заходи з оновлення шахтного фонду, сплачувати витрати за спожиту електричну енергію та своєчасно і в повному обсязі виплачувати заробітну плату шахтарям з погашенням існуючої заборгованості з неї.</w:t>
      </w:r>
    </w:p>
    <w:p w:rsidR="002B6C09">
      <w:pPr>
        <w:pStyle w:val="211"/>
        <w:shd w:val="clear" w:color="auto" w:fill="auto"/>
        <w:bidi w:val="0"/>
        <w:spacing w:line="312" w:lineRule="exact"/>
        <w:ind w:right="-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4. Стан нормативно-правової бази у даній сфері</w:t>
      </w:r>
    </w:p>
    <w:p w:rsidR="002B6C09">
      <w:pPr>
        <w:pStyle w:val="211"/>
        <w:shd w:val="clear" w:color="auto" w:fill="auto"/>
        <w:bidi w:val="0"/>
        <w:spacing w:line="312" w:lineRule="exact"/>
        <w:ind w:right="-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нормативного регулювання</w:t>
      </w:r>
    </w:p>
    <w:p w:rsidR="002B6C09">
      <w:pPr>
        <w:bidi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Основними нормативно-правовими актами у даній сфері правового регулювання є: Конституція України, Бюджетний кодекс України, Кодекс законів про працю України, Закон України «Про оплату праці», Закон України «</w:t>
      </w:r>
      <w:r>
        <w:rPr>
          <w:rFonts w:ascii="Times New Roman" w:hAnsi="Times New Roman" w:cs="Times New Roman"/>
          <w:bCs/>
          <w:sz w:val="28"/>
          <w:szCs w:val="28"/>
          <w:bdr w:val="nil"/>
        </w:rPr>
        <w:t xml:space="preserve">Про збір та облік єдиного внеску на загальнообов'язкове державне соціальне страхування», </w:t>
      </w:r>
      <w:r>
        <w:rPr>
          <w:rFonts w:ascii="Times New Roman" w:hAnsi="Times New Roman" w:cs="Times New Roman"/>
          <w:sz w:val="28"/>
          <w:szCs w:val="28"/>
        </w:rPr>
        <w:t>Закон України «Про підвищення престижності шахтарської праці», Гірничий закон України, Закон України «Про Державний бюджет України на 2019 рік».</w:t>
      </w:r>
    </w:p>
    <w:p w:rsidR="002B6C09">
      <w:pPr>
        <w:pStyle w:val="211"/>
        <w:shd w:val="clear" w:color="auto" w:fill="auto"/>
        <w:bidi w:val="0"/>
        <w:spacing w:line="312" w:lineRule="exact"/>
        <w:ind w:right="-8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Прийняття даного законопроекту не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</w:rPr>
        <w:t>потребує внесення змін до інших нормативно-правових актів України.</w:t>
      </w:r>
    </w:p>
    <w:p w:rsidR="002B6C09">
      <w:pPr>
        <w:pStyle w:val="211"/>
        <w:shd w:val="clear" w:color="auto" w:fill="auto"/>
        <w:bidi w:val="0"/>
        <w:spacing w:line="312" w:lineRule="exact"/>
        <w:ind w:left="1287" w:right="220"/>
        <w:rPr>
          <w:rFonts w:ascii="Times New Roman" w:hAnsi="Times New Roman"/>
          <w:b/>
          <w:sz w:val="16"/>
          <w:szCs w:val="16"/>
        </w:rPr>
      </w:pPr>
    </w:p>
    <w:p w:rsidR="002B6C09">
      <w:pPr>
        <w:pStyle w:val="211"/>
        <w:shd w:val="clear" w:color="auto" w:fill="auto"/>
        <w:bidi w:val="0"/>
        <w:spacing w:line="312" w:lineRule="exact"/>
        <w:ind w:right="-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5. Фінансово-економічне обґрунтування проекту Закону</w:t>
      </w:r>
    </w:p>
    <w:p w:rsidR="002B6C09">
      <w:pPr>
        <w:pStyle w:val="211"/>
        <w:shd w:val="clear" w:color="auto" w:fill="auto"/>
        <w:bidi w:val="0"/>
        <w:spacing w:line="312" w:lineRule="exact"/>
        <w:ind w:right="-8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Законом України «Про Державний бюджет Украї</w:t>
      </w:r>
      <w:r w:rsidR="00C34125">
        <w:rPr>
          <w:rFonts w:ascii="Times New Roman" w:hAnsi="Times New Roman"/>
          <w:sz w:val="28"/>
          <w:szCs w:val="28"/>
        </w:rPr>
        <w:t>ни на 2019 рік» Міністерст</w:t>
      </w:r>
      <w:r w:rsidR="00902377">
        <w:rPr>
          <w:rFonts w:ascii="Times New Roman" w:hAnsi="Times New Roman"/>
          <w:sz w:val="28"/>
          <w:szCs w:val="28"/>
        </w:rPr>
        <w:t>в</w:t>
      </w:r>
      <w:r w:rsidR="00C34125">
        <w:rPr>
          <w:rFonts w:ascii="Times New Roman" w:hAnsi="Times New Roman"/>
          <w:sz w:val="28"/>
          <w:szCs w:val="28"/>
        </w:rPr>
        <w:t>у енергетики та захисту довкілля</w:t>
      </w:r>
      <w:r>
        <w:rPr>
          <w:rFonts w:ascii="Times New Roman" w:hAnsi="Times New Roman"/>
          <w:sz w:val="28"/>
          <w:szCs w:val="28"/>
        </w:rPr>
        <w:t xml:space="preserve"> України за бюджетною про</w:t>
      </w:r>
      <w:r w:rsidR="00C34125">
        <w:rPr>
          <w:rFonts w:ascii="Times New Roman" w:hAnsi="Times New Roman"/>
          <w:sz w:val="28"/>
          <w:szCs w:val="28"/>
        </w:rPr>
        <w:t>грамою КПКВК 2401590</w:t>
      </w:r>
      <w:r>
        <w:rPr>
          <w:rFonts w:ascii="Times New Roman" w:hAnsi="Times New Roman"/>
          <w:sz w:val="28"/>
          <w:szCs w:val="28"/>
        </w:rPr>
        <w:t xml:space="preserve"> «Реструктуризація вугільної галузі</w:t>
      </w:r>
      <w:r w:rsidR="00902377">
        <w:rPr>
          <w:rFonts w:ascii="Times New Roman" w:hAnsi="Times New Roman"/>
          <w:sz w:val="28"/>
          <w:szCs w:val="28"/>
        </w:rPr>
        <w:t>» передбачені видатки в обсязі 2</w:t>
      </w:r>
      <w:r>
        <w:rPr>
          <w:rFonts w:ascii="Times New Roman" w:hAnsi="Times New Roman"/>
          <w:sz w:val="28"/>
          <w:szCs w:val="28"/>
        </w:rPr>
        <w:t> 630,0 млн. грн Із зазначеної суми 1 000,0 млн. грн. спрямовується на здійснення заходів з технічного переоснащення та модернізації вугледобувних підприємств.</w:t>
      </w:r>
    </w:p>
    <w:p w:rsidR="002B6C09">
      <w:pPr>
        <w:pStyle w:val="211"/>
        <w:shd w:val="clear" w:color="auto" w:fill="auto"/>
        <w:bidi w:val="0"/>
        <w:spacing w:line="312" w:lineRule="exact"/>
        <w:ind w:right="-8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Проте, за наявності значної зношеності технологічного обладнання та стаціонарного устаткування вугледобувних підприємств і відсутності необхідного фронту очисних робіт, за розрахунка</w:t>
      </w:r>
      <w:r w:rsidR="00902377">
        <w:rPr>
          <w:rFonts w:ascii="Times New Roman" w:hAnsi="Times New Roman"/>
          <w:sz w:val="28"/>
          <w:szCs w:val="28"/>
        </w:rPr>
        <w:t>ми спеціалістів Мінекоенерго</w:t>
      </w:r>
      <w:r>
        <w:rPr>
          <w:rFonts w:ascii="Times New Roman" w:hAnsi="Times New Roman"/>
          <w:sz w:val="28"/>
          <w:szCs w:val="28"/>
        </w:rPr>
        <w:t xml:space="preserve"> України зазначеного обсягу бюджетного фінансування на 2019 рік  недостатньо.</w:t>
      </w:r>
    </w:p>
    <w:p w:rsidR="002B6C09">
      <w:pPr>
        <w:bidi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Планом бюджетних асигнувань загального фонду Державного бюджету України</w:t>
      </w:r>
      <w:r w:rsidR="00CF5FB8">
        <w:rPr>
          <w:rFonts w:ascii="Times New Roman" w:hAnsi="Times New Roman" w:cs="Times New Roman"/>
          <w:sz w:val="28"/>
          <w:szCs w:val="28"/>
        </w:rPr>
        <w:t xml:space="preserve"> за бюджетною програмою КПКВК 24</w:t>
      </w:r>
      <w:r>
        <w:rPr>
          <w:rFonts w:ascii="Times New Roman" w:hAnsi="Times New Roman" w:cs="Times New Roman"/>
          <w:sz w:val="28"/>
          <w:szCs w:val="28"/>
        </w:rPr>
        <w:t>01590 «Реструктуризація вугільної галузі» на 2019 рік поточні видатки становлять 630,0 млн. грн, у тому числі на:</w:t>
      </w:r>
    </w:p>
    <w:p w:rsidR="002B6C09">
      <w:pPr>
        <w:pStyle w:val="ListParagraph"/>
        <w:numPr>
          <w:numId w:val="11"/>
        </w:numPr>
        <w:bidi w:val="0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повернення до державного бюджету коштів виділених Міненерговугіллю для погашення заборгованості із заробітної плати перед працівниками вугільної промисловості на поворотній основі, згідно з розпорядженням Кабінету Міністрів України від 22 серпня 2018 р. № 572 </w:t>
      </w:r>
      <w:r w:rsidR="007C686C">
        <w:rPr>
          <w:rFonts w:ascii="Times New Roman" w:hAnsi="Times New Roman"/>
          <w:sz w:val="28"/>
          <w:szCs w:val="28"/>
          <w:lang w:val="uk-UA"/>
        </w:rPr>
        <w:t xml:space="preserve">               </w:t>
      </w:r>
      <w:r>
        <w:rPr>
          <w:rFonts w:ascii="Times New Roman" w:hAnsi="Times New Roman"/>
          <w:sz w:val="28"/>
          <w:szCs w:val="28"/>
          <w:lang w:val="uk-UA"/>
        </w:rPr>
        <w:t>«Про виділення коштів з резервного фонду державного бюджету» у сумі 100,0 млн. грн;</w:t>
      </w:r>
    </w:p>
    <w:p w:rsidR="002B6C09">
      <w:pPr>
        <w:pStyle w:val="ListParagraph"/>
        <w:numPr>
          <w:numId w:val="11"/>
        </w:numPr>
        <w:bidi w:val="0"/>
        <w:ind w:left="0" w:firstLine="709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погашення заборгованості із заробітної плати – 251,4 млн. грн;</w:t>
      </w:r>
    </w:p>
    <w:p w:rsidR="002B6C09">
      <w:pPr>
        <w:pStyle w:val="ListParagraph"/>
        <w:numPr>
          <w:numId w:val="11"/>
        </w:numPr>
        <w:bidi w:val="0"/>
        <w:ind w:left="0" w:firstLine="709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оплату праці та внесення обов’язкових платежів, пов’язаних з виплатою заробітної плати – 278,6 млн. гривень.</w:t>
      </w:r>
    </w:p>
    <w:p w:rsidR="002B6C09">
      <w:pPr>
        <w:pStyle w:val="ListParagraph"/>
        <w:bidi w:val="0"/>
        <w:ind w:left="0" w:firstLine="709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Кошти за зазначеною програмою у сумі 530,0 млн. грн використані на погашення заборгованості із заробітної плати та виплату зарплати у повному обсязі у І кварталі 2019 року.</w:t>
      </w:r>
    </w:p>
    <w:p w:rsidR="002B6C09">
      <w:pPr>
        <w:bidi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Відповідно до розпорядження Кабінету Міністрів України від 03.04.2019 № 224-р «Про виділення коштів з резервного фонду державного бюджету» вугледобувні підприємства 12.04.2019 отримали 350,0 млн. грн для виплати заробітної плати на поворотній основі.</w:t>
      </w:r>
    </w:p>
    <w:p w:rsidR="002B6C09">
      <w:pPr>
        <w:bidi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Крім того, Кабінетом Міністрів України прийнято розпорядження від 27.03.2019 № 222-р «Про перерозподіл деяких видатків, передбачених Міністерству енергетики та вугільної промисловості на 2019 рік».</w:t>
      </w:r>
    </w:p>
    <w:p w:rsidR="002B6C09">
      <w:pPr>
        <w:shd w:val="clear" w:color="auto" w:fill="FFFFFF"/>
        <w:tabs>
          <w:tab w:val="left" w:pos="709"/>
        </w:tabs>
        <w:bidi w:val="0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Перерозподіл видатків </w:t>
      </w:r>
      <w:r>
        <w:rPr>
          <w:rFonts w:ascii="Times New Roman" w:hAnsi="Times New Roman" w:cs="Times New Roman"/>
          <w:sz w:val="28"/>
          <w:szCs w:val="28"/>
        </w:rPr>
        <w:t xml:space="preserve">розвитку у сумі 360 000,0 тис. грн у межах обсягу бюджетних призначень передбачених Міністерству енергетики та вугільної промисловості на 2019 рік у загальному фонді </w:t>
      </w:r>
      <w:hyperlink r:id="rId5" w:tgtFrame="_blank" w:history="1">
        <w:r>
          <w:rPr>
            <w:rFonts w:ascii="Times New Roman" w:hAnsi="Times New Roman" w:cs="Times New Roman"/>
            <w:sz w:val="28"/>
            <w:szCs w:val="28"/>
          </w:rPr>
          <w:t>державного бюджету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37D88">
        <w:rPr>
          <w:rFonts w:ascii="Times New Roman" w:hAnsi="Times New Roman" w:cs="Times New Roman"/>
          <w:sz w:val="28"/>
          <w:szCs w:val="28"/>
        </w:rPr>
        <w:t xml:space="preserve">здійснено </w:t>
      </w:r>
      <w:r>
        <w:rPr>
          <w:rFonts w:ascii="Times New Roman" w:hAnsi="Times New Roman" w:cs="Times New Roman"/>
          <w:sz w:val="28"/>
          <w:szCs w:val="28"/>
        </w:rPr>
        <w:t>шляхом:</w:t>
      </w:r>
    </w:p>
    <w:p w:rsidR="002B6C09">
      <w:pPr>
        <w:pStyle w:val="a2"/>
        <w:shd w:val="clear" w:color="auto" w:fill="FFFFFF"/>
        <w:tabs>
          <w:tab w:val="left" w:pos="709"/>
        </w:tabs>
        <w:bidi w:val="0"/>
        <w:spacing w:before="0" w:beforeAutospacing="0" w:after="0" w:afterAutospacing="0"/>
        <w:ind w:firstLine="720"/>
        <w:jc w:val="both"/>
        <w:rPr>
          <w:rFonts w:hint="default"/>
          <w:sz w:val="28"/>
          <w:szCs w:val="28"/>
          <w:lang w:val="uk-UA"/>
        </w:rPr>
      </w:pPr>
      <w:r>
        <w:rPr>
          <w:rFonts w:hint="default"/>
          <w:sz w:val="28"/>
          <w:szCs w:val="28"/>
          <w:lang w:val="uk-UA"/>
        </w:rPr>
        <w:t>зменшення</w:t>
      </w:r>
      <w:r>
        <w:rPr>
          <w:rFonts w:hint="default"/>
          <w:sz w:val="28"/>
          <w:szCs w:val="28"/>
          <w:lang w:val="uk-UA"/>
        </w:rPr>
        <w:t xml:space="preserve"> їх</w:t>
      </w:r>
      <w:r>
        <w:rPr>
          <w:rFonts w:hint="default"/>
          <w:sz w:val="28"/>
          <w:szCs w:val="28"/>
          <w:lang w:val="uk-UA"/>
        </w:rPr>
        <w:t xml:space="preserve"> обсягу</w:t>
      </w:r>
      <w:r>
        <w:rPr>
          <w:rFonts w:hint="default"/>
          <w:sz w:val="28"/>
          <w:szCs w:val="28"/>
          <w:lang w:val="uk-UA"/>
        </w:rPr>
        <w:t xml:space="preserve"> за</w:t>
      </w:r>
      <w:r>
        <w:rPr>
          <w:rFonts w:hint="default"/>
          <w:sz w:val="28"/>
          <w:szCs w:val="28"/>
          <w:lang w:val="uk-UA"/>
        </w:rPr>
        <w:t xml:space="preserve"> програмою</w:t>
      </w:r>
      <w:r>
        <w:rPr>
          <w:rFonts w:hint="default"/>
          <w:sz w:val="28"/>
          <w:szCs w:val="28"/>
          <w:lang w:val="uk-UA"/>
        </w:rPr>
        <w:t xml:space="preserve"> 1101070 «Ліквідація</w:t>
      </w:r>
      <w:r>
        <w:rPr>
          <w:rFonts w:hint="default"/>
          <w:sz w:val="28"/>
          <w:szCs w:val="28"/>
          <w:lang w:val="uk-UA"/>
        </w:rPr>
        <w:t xml:space="preserve"> вугледобувних</w:t>
      </w:r>
      <w:r>
        <w:rPr>
          <w:rFonts w:hint="default"/>
          <w:sz w:val="28"/>
          <w:szCs w:val="28"/>
          <w:lang w:val="uk-UA"/>
        </w:rPr>
        <w:t xml:space="preserve"> та</w:t>
      </w:r>
      <w:r>
        <w:rPr>
          <w:rFonts w:hint="default"/>
          <w:sz w:val="28"/>
          <w:szCs w:val="28"/>
          <w:lang w:val="uk-UA"/>
        </w:rPr>
        <w:t xml:space="preserve"> торфодобувних</w:t>
      </w:r>
      <w:r>
        <w:rPr>
          <w:rFonts w:hint="default"/>
          <w:sz w:val="28"/>
          <w:szCs w:val="28"/>
          <w:lang w:val="uk-UA"/>
        </w:rPr>
        <w:t xml:space="preserve"> підприємств»</w:t>
      </w:r>
      <w:r>
        <w:rPr>
          <w:rFonts w:hint="default"/>
          <w:sz w:val="28"/>
          <w:szCs w:val="28"/>
          <w:lang w:val="uk-UA"/>
        </w:rPr>
        <w:t xml:space="preserve"> на</w:t>
      </w:r>
      <w:r>
        <w:rPr>
          <w:rFonts w:hint="default"/>
          <w:sz w:val="28"/>
          <w:szCs w:val="28"/>
          <w:lang w:val="uk-UA"/>
        </w:rPr>
        <w:t xml:space="preserve"> 360 </w:t>
      </w:r>
      <w:r>
        <w:rPr>
          <w:rFonts w:hint="default"/>
          <w:sz w:val="28"/>
          <w:szCs w:val="28"/>
          <w:lang w:val="uk-UA"/>
        </w:rPr>
        <w:t>000 тис</w:t>
      </w:r>
      <w:r>
        <w:rPr>
          <w:rFonts w:hint="default"/>
          <w:sz w:val="28"/>
          <w:szCs w:val="28"/>
          <w:lang w:val="uk-UA"/>
        </w:rPr>
        <w:t>. гривень</w:t>
      </w:r>
      <w:r>
        <w:rPr>
          <w:rFonts w:hint="default"/>
          <w:sz w:val="28"/>
          <w:szCs w:val="28"/>
          <w:lang w:val="uk-UA"/>
        </w:rPr>
        <w:t>;</w:t>
      </w:r>
    </w:p>
    <w:p w:rsidR="002B6C09">
      <w:pPr>
        <w:tabs>
          <w:tab w:val="left" w:pos="709"/>
        </w:tabs>
        <w:bidi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збільшення їх обсягу за програмами:</w:t>
      </w:r>
    </w:p>
    <w:p w:rsidR="002B6C09">
      <w:pPr>
        <w:tabs>
          <w:tab w:val="left" w:pos="709"/>
        </w:tabs>
        <w:bidi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1101590 «Реструктуризація вугільної галузі» на 316 000 тис. гривень;</w:t>
      </w:r>
    </w:p>
    <w:p w:rsidR="002B6C09">
      <w:pPr>
        <w:tabs>
          <w:tab w:val="left" w:pos="709"/>
        </w:tabs>
        <w:bidi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1101530 «Державна підтримка будівництва шахти № 10 «Нововолинська» на 44 000 тис. гривень.</w:t>
      </w:r>
    </w:p>
    <w:p w:rsidR="002B6C09">
      <w:pPr>
        <w:pStyle w:val="ListParagraph"/>
        <w:bidi w:val="0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="00A10AF5">
        <w:rPr>
          <w:rFonts w:ascii="Times New Roman" w:hAnsi="Times New Roman"/>
          <w:sz w:val="28"/>
          <w:szCs w:val="28"/>
          <w:lang w:val="uk-UA"/>
        </w:rPr>
        <w:t>Відповідно до Закону України «Про внесення змін до Закону України «Про Державний бюджет України на 2019 рік» (№ 265-ХІ від 31.10.2019) Міністерству енергетики та захисту довкілля передбачено збільшення видатків Державного бюджету України на 2019 рік за бюджетною програмою (КПКВК) 2401590 «Реструктуризація вугільної галузі» в сумі 1 000,0 млн.</w:t>
      </w:r>
      <w:r w:rsidR="00336C0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10AF5">
        <w:rPr>
          <w:rFonts w:ascii="Times New Roman" w:hAnsi="Times New Roman"/>
          <w:sz w:val="28"/>
          <w:szCs w:val="28"/>
          <w:lang w:val="uk-UA"/>
        </w:rPr>
        <w:t>грн., але виділені кошти лише частково вирішили проблеми державних вугледобувних підприємств і на теперішній час використані повністю.</w:t>
      </w:r>
    </w:p>
    <w:p w:rsidR="00C973B7">
      <w:pPr>
        <w:pStyle w:val="ListParagraph"/>
        <w:bidi w:val="0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Своєчасна виплата  заробітної плати та погашення заборгованості з неї шахтарям  протягом І</w:t>
      </w: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  <w:lang w:val="uk-UA"/>
        </w:rPr>
        <w:t xml:space="preserve"> кварталу 2019 року під великим питанням.</w:t>
      </w:r>
    </w:p>
    <w:p w:rsidR="00C973B7">
      <w:pPr>
        <w:pStyle w:val="ListParagraph"/>
        <w:bidi w:val="0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 оперативною інформацією</w:t>
      </w:r>
      <w:r w:rsidR="00910C34">
        <w:rPr>
          <w:rFonts w:ascii="Times New Roman" w:hAnsi="Times New Roman"/>
          <w:sz w:val="28"/>
          <w:szCs w:val="28"/>
          <w:lang w:val="uk-UA"/>
        </w:rPr>
        <w:t xml:space="preserve"> профільного міністерства очікуване нара</w:t>
      </w:r>
      <w:r w:rsidR="00336C00">
        <w:rPr>
          <w:rFonts w:ascii="Times New Roman" w:hAnsi="Times New Roman"/>
          <w:sz w:val="28"/>
          <w:szCs w:val="28"/>
          <w:lang w:val="uk-UA"/>
        </w:rPr>
        <w:t>хування заробітної плати до кінця року складає 550,0 млн. грн. Орієнтовна потреба в коштах для виплати заробітної плати до кінця року складає 1 048,3 млн. грн.</w:t>
      </w:r>
    </w:p>
    <w:p w:rsidR="00191EB9">
      <w:pPr>
        <w:pStyle w:val="ListParagraph"/>
        <w:bidi w:val="0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="00336C00">
        <w:rPr>
          <w:rFonts w:ascii="Times New Roman" w:hAnsi="Times New Roman"/>
          <w:sz w:val="28"/>
          <w:szCs w:val="28"/>
          <w:lang w:val="uk-UA"/>
        </w:rPr>
        <w:t>Крім того, заборгованість вугледобувних підприємств за спожиту електроенергію за жовтень 2019 року складає 126,2 млн. грн. Очікуване споживання електроенергії до кінця року (листопад-грудень 2019 року) складає</w:t>
      </w:r>
      <w:r>
        <w:rPr>
          <w:rFonts w:ascii="Times New Roman" w:hAnsi="Times New Roman"/>
          <w:sz w:val="28"/>
          <w:szCs w:val="28"/>
          <w:lang w:val="uk-UA"/>
        </w:rPr>
        <w:t xml:space="preserve"> 182,0 млн. кВТ/год на суму 534,0 млн. грн.</w:t>
      </w:r>
    </w:p>
    <w:p w:rsidR="00336C00">
      <w:pPr>
        <w:pStyle w:val="ListParagraph"/>
        <w:bidi w:val="0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="00191EB9">
        <w:rPr>
          <w:rFonts w:ascii="Times New Roman" w:hAnsi="Times New Roman"/>
          <w:sz w:val="28"/>
          <w:szCs w:val="28"/>
          <w:lang w:val="uk-UA"/>
        </w:rPr>
        <w:t>Також до кінця поточного року державним вугледобувним підприємствам необхідно повернути до резервного фонду державного бюджету 600,0 млн. грн. (100,0 млн. грн, отриманих на погашення заборгованості у 2018 році та 500,0 млн. грн., отриманих на виплату заробітної плати у 2019 році).</w:t>
      </w:r>
    </w:p>
    <w:p w:rsidR="00191EB9">
      <w:pPr>
        <w:pStyle w:val="ListParagraph"/>
        <w:bidi w:val="0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Для стабілізації роботи державних вугледобувних підприємств мінімальний необхідний обсяг коштів до кінця року становить 2 308,5 млн. грн., в тому числі:</w:t>
      </w:r>
    </w:p>
    <w:p w:rsidR="00191EB9" w:rsidP="00191EB9">
      <w:pPr>
        <w:pStyle w:val="ListParagraph"/>
        <w:numPr>
          <w:numId w:val="11"/>
        </w:numPr>
        <w:bidi w:val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виплата заробітної плати 1048,3 млн. грн.</w:t>
      </w:r>
      <w:r w:rsidR="0077668D">
        <w:rPr>
          <w:rFonts w:ascii="Times New Roman" w:hAnsi="Times New Roman"/>
          <w:sz w:val="28"/>
          <w:szCs w:val="28"/>
          <w:lang w:val="uk-UA"/>
        </w:rPr>
        <w:t>;</w:t>
      </w:r>
    </w:p>
    <w:p w:rsidR="0077668D" w:rsidP="00191EB9">
      <w:pPr>
        <w:pStyle w:val="ListParagraph"/>
        <w:numPr>
          <w:numId w:val="11"/>
        </w:numPr>
        <w:bidi w:val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поточна оплата спожитої електроенергії 660,2 млн. грн.;</w:t>
      </w:r>
    </w:p>
    <w:p w:rsidR="0077668D" w:rsidRPr="00C973B7" w:rsidP="00191EB9">
      <w:pPr>
        <w:pStyle w:val="ListParagraph"/>
        <w:numPr>
          <w:numId w:val="11"/>
        </w:numPr>
        <w:bidi w:val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повернення до резерву Державного бюджету 600,0 млн. грн.</w:t>
      </w:r>
    </w:p>
    <w:p w:rsidR="002B6C09" w:rsidRPr="007A74B5" w:rsidP="007A74B5">
      <w:pPr>
        <w:pStyle w:val="ListParagraph"/>
        <w:bidi w:val="0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7A74B5" w:rsidR="007A74B5">
        <w:rPr>
          <w:rFonts w:ascii="Times New Roman" w:hAnsi="Times New Roman"/>
          <w:sz w:val="28"/>
          <w:szCs w:val="28"/>
          <w:lang w:val="uk-UA"/>
        </w:rPr>
        <w:t>Водночас</w:t>
      </w:r>
      <w:r w:rsidR="007A74B5">
        <w:rPr>
          <w:rFonts w:ascii="Times New Roman" w:hAnsi="Times New Roman"/>
          <w:sz w:val="28"/>
          <w:szCs w:val="28"/>
          <w:lang w:val="uk-UA"/>
        </w:rPr>
        <w:t>, беручи до уваги численні виклики, що стоять перед державою, та обмежені фінансові ресурси Державного бюджету, пропонується забезпечити мінімальний рівень державної підтримки вугільної галузі до кінця 2019 року шляхом збільшення</w:t>
      </w:r>
      <w:r w:rsidRPr="007A74B5">
        <w:rPr>
          <w:rFonts w:ascii="Times New Roman" w:hAnsi="Times New Roman"/>
          <w:sz w:val="28"/>
          <w:szCs w:val="28"/>
          <w:lang w:val="uk-UA"/>
        </w:rPr>
        <w:t xml:space="preserve"> асигнувань за бюджетною програмою </w:t>
      </w:r>
      <w:r w:rsidR="0077668D">
        <w:rPr>
          <w:rFonts w:ascii="Times New Roman" w:hAnsi="Times New Roman"/>
          <w:sz w:val="28"/>
          <w:szCs w:val="28"/>
          <w:lang w:val="uk-UA"/>
        </w:rPr>
        <w:t>КПКВК 2401590</w:t>
      </w:r>
      <w:r w:rsidRPr="00D859C5">
        <w:rPr>
          <w:rFonts w:ascii="Times New Roman" w:hAnsi="Times New Roman"/>
          <w:sz w:val="28"/>
          <w:szCs w:val="28"/>
          <w:lang w:val="uk-UA"/>
        </w:rPr>
        <w:t xml:space="preserve"> «Реструктуризація вугільної галу</w:t>
      </w:r>
      <w:r w:rsidRPr="00D859C5" w:rsidR="007C686C">
        <w:rPr>
          <w:rFonts w:ascii="Times New Roman" w:hAnsi="Times New Roman"/>
          <w:sz w:val="28"/>
          <w:szCs w:val="28"/>
          <w:lang w:val="uk-UA"/>
        </w:rPr>
        <w:t xml:space="preserve">зі» на 2019 рік </w:t>
      </w:r>
      <w:r w:rsidR="007A74B5">
        <w:rPr>
          <w:rFonts w:ascii="Times New Roman" w:hAnsi="Times New Roman"/>
          <w:sz w:val="28"/>
          <w:szCs w:val="28"/>
          <w:lang w:val="uk-UA"/>
        </w:rPr>
        <w:t>на</w:t>
      </w:r>
      <w:r w:rsidRPr="00D859C5" w:rsidR="007C686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A74B5">
        <w:rPr>
          <w:rFonts w:ascii="Times New Roman" w:hAnsi="Times New Roman"/>
          <w:sz w:val="28"/>
          <w:szCs w:val="28"/>
          <w:lang w:val="uk-UA"/>
        </w:rPr>
        <w:t>1 000</w:t>
      </w:r>
      <w:r w:rsidR="007C686C">
        <w:rPr>
          <w:rFonts w:ascii="Times New Roman" w:hAnsi="Times New Roman"/>
          <w:sz w:val="28"/>
          <w:szCs w:val="28"/>
        </w:rPr>
        <w:t> </w:t>
      </w:r>
      <w:r w:rsidRPr="00D859C5" w:rsidR="007C686C">
        <w:rPr>
          <w:rFonts w:ascii="Times New Roman" w:hAnsi="Times New Roman"/>
          <w:sz w:val="28"/>
          <w:szCs w:val="28"/>
          <w:lang w:val="uk-UA"/>
        </w:rPr>
        <w:t>00</w:t>
      </w:r>
      <w:r w:rsidRPr="00D859C5">
        <w:rPr>
          <w:rFonts w:ascii="Times New Roman" w:hAnsi="Times New Roman"/>
          <w:sz w:val="28"/>
          <w:szCs w:val="28"/>
          <w:lang w:val="uk-UA"/>
        </w:rPr>
        <w:t>0</w:t>
      </w:r>
      <w:r w:rsidRPr="00D859C5" w:rsidR="007C686C">
        <w:rPr>
          <w:rFonts w:ascii="Times New Roman" w:hAnsi="Times New Roman"/>
          <w:sz w:val="28"/>
          <w:szCs w:val="28"/>
          <w:lang w:val="uk-UA"/>
        </w:rPr>
        <w:t>,0</w:t>
      </w:r>
      <w:r w:rsidRPr="00D859C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859C5" w:rsidR="007C686C">
        <w:rPr>
          <w:rFonts w:ascii="Times New Roman" w:hAnsi="Times New Roman"/>
          <w:sz w:val="28"/>
          <w:szCs w:val="28"/>
          <w:lang w:val="uk-UA"/>
        </w:rPr>
        <w:t>тис</w:t>
      </w:r>
      <w:r w:rsidRPr="00D859C5">
        <w:rPr>
          <w:rFonts w:ascii="Times New Roman" w:hAnsi="Times New Roman"/>
          <w:sz w:val="28"/>
          <w:szCs w:val="28"/>
          <w:lang w:val="uk-UA"/>
        </w:rPr>
        <w:t>. гривень.</w:t>
      </w:r>
      <w:r w:rsidR="007A74B5">
        <w:rPr>
          <w:rFonts w:ascii="Times New Roman" w:hAnsi="Times New Roman"/>
          <w:sz w:val="28"/>
          <w:szCs w:val="28"/>
          <w:lang w:val="uk-UA"/>
        </w:rPr>
        <w:t xml:space="preserve"> Передбачені видатки пропонується забезпечити за рахунок перерозподілу видатків Державного бюджету на 2019 рік за програмами </w:t>
      </w:r>
      <w:r w:rsidRPr="007A74B5" w:rsidR="007A74B5">
        <w:rPr>
          <w:rFonts w:ascii="Times New Roman" w:hAnsi="Times New Roman"/>
          <w:sz w:val="28"/>
          <w:szCs w:val="28"/>
          <w:lang w:val="uk-UA"/>
        </w:rPr>
        <w:t>"Державний фонд регіонального розвитку" (код 2761070)</w:t>
      </w:r>
      <w:r w:rsidR="007A74B5">
        <w:rPr>
          <w:rFonts w:ascii="Times New Roman" w:hAnsi="Times New Roman"/>
          <w:sz w:val="28"/>
          <w:szCs w:val="28"/>
          <w:lang w:val="uk-UA"/>
        </w:rPr>
        <w:t xml:space="preserve"> та </w:t>
      </w:r>
      <w:r w:rsidRPr="007A74B5" w:rsidR="007A74B5">
        <w:rPr>
          <w:rFonts w:ascii="Times New Roman" w:hAnsi="Times New Roman"/>
          <w:sz w:val="28"/>
          <w:szCs w:val="28"/>
          <w:lang w:val="uk-UA"/>
        </w:rPr>
        <w:t>"Підтримка реалізації комплексної реформи державного управління" (код 0421060)</w:t>
      </w:r>
      <w:r w:rsidR="007A74B5">
        <w:rPr>
          <w:rFonts w:ascii="Times New Roman" w:hAnsi="Times New Roman"/>
          <w:sz w:val="28"/>
          <w:szCs w:val="28"/>
          <w:lang w:val="uk-UA"/>
        </w:rPr>
        <w:t xml:space="preserve"> зменшивши їх загальні фонди на 500 000 тис. грн відповідно</w:t>
      </w:r>
      <w:r w:rsidR="005B0B9D">
        <w:rPr>
          <w:rFonts w:ascii="Times New Roman" w:hAnsi="Times New Roman"/>
          <w:sz w:val="28"/>
          <w:szCs w:val="28"/>
          <w:lang w:val="uk-UA"/>
        </w:rPr>
        <w:t>.</w:t>
      </w:r>
    </w:p>
    <w:p w:rsidR="002B6C09">
      <w:pPr>
        <w:pStyle w:val="211"/>
        <w:bidi w:val="0"/>
        <w:spacing w:line="312" w:lineRule="exact"/>
        <w:ind w:right="220"/>
        <w:jc w:val="center"/>
        <w:rPr>
          <w:rFonts w:ascii="Times New Roman" w:hAnsi="Times New Roman"/>
          <w:b/>
          <w:sz w:val="28"/>
          <w:szCs w:val="28"/>
        </w:rPr>
      </w:pPr>
    </w:p>
    <w:p w:rsidR="002B6C09">
      <w:pPr>
        <w:pStyle w:val="211"/>
        <w:bidi w:val="0"/>
        <w:spacing w:line="312" w:lineRule="exact"/>
        <w:ind w:right="-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6. Прогноз соціально-економічних</w:t>
      </w:r>
    </w:p>
    <w:p w:rsidR="002B6C09">
      <w:pPr>
        <w:pStyle w:val="211"/>
        <w:bidi w:val="0"/>
        <w:spacing w:line="312" w:lineRule="exact"/>
        <w:ind w:right="-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та інших наслідків прийняття проекту Закону</w:t>
      </w:r>
    </w:p>
    <w:p w:rsidR="002B6C09">
      <w:pPr>
        <w:pStyle w:val="211"/>
        <w:bidi w:val="0"/>
        <w:spacing w:line="312" w:lineRule="exact"/>
        <w:ind w:right="-8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Прийняття зазначеного законопроекту сприятиме забезпеченню </w:t>
      </w:r>
      <w:r w:rsidR="0024397A">
        <w:rPr>
          <w:rFonts w:ascii="Times New Roman" w:hAnsi="Times New Roman"/>
          <w:sz w:val="28"/>
          <w:szCs w:val="28"/>
        </w:rPr>
        <w:t xml:space="preserve">мінімальних потреб для </w:t>
      </w:r>
      <w:r>
        <w:rPr>
          <w:rFonts w:ascii="Times New Roman" w:hAnsi="Times New Roman"/>
          <w:sz w:val="28"/>
          <w:szCs w:val="28"/>
        </w:rPr>
        <w:t>сталої роботи</w:t>
      </w:r>
      <w:r w:rsidR="0024397A">
        <w:rPr>
          <w:rFonts w:ascii="Times New Roman" w:hAnsi="Times New Roman"/>
          <w:sz w:val="28"/>
          <w:szCs w:val="28"/>
        </w:rPr>
        <w:t xml:space="preserve"> державних вугледобувних підприємств вугільної галузі</w:t>
      </w:r>
      <w:r>
        <w:rPr>
          <w:rFonts w:ascii="Times New Roman" w:hAnsi="Times New Roman"/>
          <w:sz w:val="28"/>
          <w:szCs w:val="28"/>
        </w:rPr>
        <w:t>, а також забезпечення теплових станцій України енергетичними ресурсами у вигляді вугільної продукції за рахунок видобутку власних корисних копалин.</w:t>
      </w:r>
    </w:p>
    <w:p w:rsidR="002B6C09">
      <w:pPr>
        <w:pStyle w:val="211"/>
        <w:bidi w:val="0"/>
        <w:spacing w:line="312" w:lineRule="exact"/>
        <w:ind w:right="220"/>
        <w:rPr>
          <w:rFonts w:ascii="Times New Roman" w:hAnsi="Times New Roman"/>
          <w:sz w:val="28"/>
          <w:szCs w:val="28"/>
        </w:rPr>
      </w:pPr>
    </w:p>
    <w:p w:rsidR="002B6C09">
      <w:pPr>
        <w:pStyle w:val="211"/>
        <w:shd w:val="clear" w:color="auto" w:fill="auto"/>
        <w:bidi w:val="0"/>
        <w:spacing w:line="312" w:lineRule="exact"/>
        <w:ind w:right="22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Народн</w:t>
      </w:r>
      <w:r w:rsidR="00191EB9">
        <w:rPr>
          <w:rFonts w:ascii="Times New Roman" w:hAnsi="Times New Roman"/>
          <w:b/>
          <w:sz w:val="28"/>
          <w:szCs w:val="28"/>
        </w:rPr>
        <w:t>і</w:t>
      </w:r>
      <w:r>
        <w:rPr>
          <w:rFonts w:ascii="Times New Roman" w:hAnsi="Times New Roman"/>
          <w:b/>
          <w:sz w:val="28"/>
          <w:szCs w:val="28"/>
        </w:rPr>
        <w:t xml:space="preserve"> депутат</w:t>
      </w:r>
      <w:r w:rsidR="003E2A8E">
        <w:rPr>
          <w:rFonts w:ascii="Times New Roman" w:hAnsi="Times New Roman"/>
          <w:b/>
          <w:sz w:val="28"/>
          <w:szCs w:val="28"/>
        </w:rPr>
        <w:t>и</w:t>
      </w:r>
      <w:r>
        <w:rPr>
          <w:rFonts w:ascii="Times New Roman" w:hAnsi="Times New Roman"/>
          <w:b/>
          <w:sz w:val="28"/>
          <w:szCs w:val="28"/>
        </w:rPr>
        <w:t xml:space="preserve"> України </w:t>
        <w:tab/>
      </w:r>
      <w:r w:rsidR="000531E0">
        <w:rPr>
          <w:rFonts w:ascii="Times New Roman" w:hAnsi="Times New Roman"/>
          <w:b/>
          <w:sz w:val="28"/>
          <w:szCs w:val="28"/>
        </w:rPr>
        <w:tab/>
        <w:tab/>
        <w:tab/>
        <w:tab/>
        <w:tab/>
      </w:r>
      <w:r w:rsidR="0077668D">
        <w:rPr>
          <w:rFonts w:ascii="Times New Roman" w:hAnsi="Times New Roman"/>
          <w:b/>
          <w:sz w:val="28"/>
          <w:szCs w:val="28"/>
        </w:rPr>
        <w:t xml:space="preserve">  </w:t>
      </w:r>
      <w:r w:rsidR="0024397A">
        <w:rPr>
          <w:rFonts w:ascii="Times New Roman" w:hAnsi="Times New Roman"/>
          <w:b/>
          <w:sz w:val="28"/>
          <w:szCs w:val="28"/>
        </w:rPr>
        <w:t xml:space="preserve">    </w:t>
      </w:r>
      <w:r w:rsidR="0077668D">
        <w:rPr>
          <w:rFonts w:ascii="Times New Roman" w:hAnsi="Times New Roman"/>
          <w:b/>
          <w:sz w:val="28"/>
          <w:szCs w:val="28"/>
        </w:rPr>
        <w:t>М.Я Волинець</w:t>
      </w:r>
    </w:p>
    <w:p w:rsidR="0077668D">
      <w:pPr>
        <w:pStyle w:val="211"/>
        <w:shd w:val="clear" w:color="auto" w:fill="auto"/>
        <w:bidi w:val="0"/>
        <w:spacing w:line="312" w:lineRule="exact"/>
        <w:ind w:right="22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      (посв. №181)</w:t>
      </w:r>
    </w:p>
    <w:p w:rsidR="00BE5DBA">
      <w:pPr>
        <w:pStyle w:val="211"/>
        <w:shd w:val="clear" w:color="auto" w:fill="auto"/>
        <w:bidi w:val="0"/>
        <w:spacing w:line="312" w:lineRule="exact"/>
        <w:ind w:right="22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 xml:space="preserve">                                                                                                            </w:t>
      </w:r>
      <w:r>
        <w:rPr>
          <w:rFonts w:ascii="Times New Roman" w:hAnsi="Times New Roman"/>
          <w:b/>
          <w:sz w:val="28"/>
          <w:szCs w:val="28"/>
        </w:rPr>
        <w:t>В.В. Мороз</w:t>
      </w:r>
    </w:p>
    <w:p w:rsidR="00BE5DBA">
      <w:pPr>
        <w:pStyle w:val="211"/>
        <w:shd w:val="clear" w:color="auto" w:fill="auto"/>
        <w:bidi w:val="0"/>
        <w:spacing w:line="312" w:lineRule="exact"/>
        <w:ind w:right="22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      М.Л. Бондар</w:t>
      </w:r>
    </w:p>
    <w:p w:rsidR="00BE5DBA" w:rsidRPr="00BE5DBA">
      <w:pPr>
        <w:pStyle w:val="211"/>
        <w:shd w:val="clear" w:color="auto" w:fill="auto"/>
        <w:bidi w:val="0"/>
        <w:spacing w:line="312" w:lineRule="exact"/>
        <w:ind w:right="22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      В.О. Гриб</w:t>
      </w:r>
    </w:p>
    <w:sectPr w:rsidSect="002B6C09">
      <w:footerReference w:type="default" r:id="rId6"/>
      <w:pgSz w:w="11900" w:h="16840"/>
      <w:pgMar w:top="851" w:right="851" w:bottom="1276" w:left="1418" w:header="170" w:footer="6" w:gutter="0"/>
      <w:lnNumType w:distance="0"/>
      <w:cols w:space="708"/>
      <w:titlePg/>
      <w:bidi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00000000" w:usb1="00000000" w:usb2="00000000" w:usb3="00000000" w:csb0="000001FF" w:csb1="00000000"/>
  </w:font>
  <w:font w:name="Courier New">
    <w:altName w:val="Courier"/>
    <w:panose1 w:val="02070309020205020404"/>
    <w:charset w:val="CC"/>
    <w:family w:val="modern"/>
    <w:pitch w:val="fixed"/>
    <w:sig w:usb0="00000000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00000000" w:usb2="00000000" w:usb3="00000000" w:csb0="80000000" w:csb1="00000000"/>
  </w:font>
  <w:font w:name="MS Mincho">
    <w:altName w:val="Yu Gothic UI"/>
    <w:panose1 w:val="02020609040205080304"/>
    <w:charset w:val="80"/>
    <w:family w:val="modern"/>
    <w:pitch w:val="fixed"/>
    <w:sig w:usb0="00000000" w:usb1="00000000" w:usb2="00000000" w:usb3="00000000" w:csb0="0002009F" w:csb1="00000000"/>
  </w:font>
  <w:font w:name="Cambria Math">
    <w:panose1 w:val="02040503050406030204"/>
    <w:charset w:val="CC"/>
    <w:family w:val="roman"/>
    <w:pitch w:val="variable"/>
    <w:sig w:usb0="00000000" w:usb1="00000000" w:usb2="00000000" w:usb3="00000000" w:csb0="0000019F" w:csb1="00000000"/>
  </w:font>
  <w:font w:name="Tahoma">
    <w:altName w:val="Arial"/>
    <w:panose1 w:val="020B0604030504040204"/>
    <w:charset w:val="CC"/>
    <w:family w:val="swiss"/>
    <w:pitch w:val="variable"/>
    <w:sig w:usb0="00000000" w:usb1="00000000" w:usb2="00000000" w:usb3="00000000" w:csb0="000101FF" w:csb1="00000000"/>
  </w:font>
  <w:font w:name="@MS Mincho">
    <w:panose1 w:val="00000000000000000000"/>
    <w:charset w:val="80"/>
    <w:family w:val="modern"/>
    <w:pitch w:val="fixed"/>
    <w:sig w:usb0="00000000" w:usb1="00000000" w:usb2="00000000" w:usb3="00000000" w:csb0="0002009F" w:csb1="00000000"/>
  </w:font>
  <w:font w:name="Cambria">
    <w:panose1 w:val="00000000000000000000"/>
    <w:charset w:val="CC"/>
    <w:family w:val="roman"/>
    <w:pitch w:val="variable"/>
    <w:sig w:usb0="00000000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00000000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00000000" w:usb1="00000000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6C09">
    <w:pPr>
      <w:pStyle w:val="Footer"/>
      <w:bidi w:val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E5DBA">
      <w:rPr>
        <w:noProof/>
      </w:rPr>
      <w:t>4</w:t>
    </w:r>
    <w:r>
      <w:fldChar w:fldCharType="end"/>
    </w:r>
  </w:p>
  <w:p w:rsidR="002B6C09">
    <w:pPr>
      <w:pStyle w:val="Footer"/>
      <w:bidi w:val="0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B61D3"/>
    <w:multiLevelType w:val="hybridMultilevel"/>
    <w:tmpl w:val="6534EFCE"/>
    <w:lvl w:ilvl="0">
      <w:start w:val="4"/>
      <w:numFmt w:val="decimal"/>
      <w:lvlText w:val="%1."/>
      <w:lvlJc w:val="left"/>
      <w:pPr>
        <w:ind w:left="927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cs="Times New Roman"/>
        <w:rtl w:val="0"/>
        <w:cs w:val="0"/>
      </w:rPr>
    </w:lvl>
  </w:abstractNum>
  <w:abstractNum w:abstractNumId="1">
    <w:nsid w:val="19494276"/>
    <w:multiLevelType w:val="hybridMultilevel"/>
    <w:tmpl w:val="F7C26106"/>
    <w:lvl w:ilvl="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cs="Times New Roman"/>
        <w:rtl w:val="0"/>
        <w:cs w:val="0"/>
      </w:rPr>
    </w:lvl>
  </w:abstractNum>
  <w:abstractNum w:abstractNumId="2">
    <w:nsid w:val="21590C25"/>
    <w:multiLevelType w:val="hybridMultilevel"/>
    <w:tmpl w:val="04429244"/>
    <w:lvl w:ilvl="0">
      <w:start w:val="6"/>
      <w:numFmt w:val="decimal"/>
      <w:lvlText w:val="%1."/>
      <w:lvlJc w:val="left"/>
      <w:pPr>
        <w:ind w:left="1287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ind w:left="2007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727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cs="Times New Roman"/>
        <w:rtl w:val="0"/>
        <w:cs w:val="0"/>
      </w:rPr>
    </w:lvl>
  </w:abstractNum>
  <w:abstractNum w:abstractNumId="3">
    <w:nsid w:val="28EC2F45"/>
    <w:multiLevelType w:val="multilevel"/>
    <w:tmpl w:val="3FB69432"/>
    <w:lvl w:ilvl="0">
      <w:start w:val="2016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rtl w:val="0"/>
        <w:cs w:val="0"/>
      </w:rPr>
    </w:lvl>
    <w:lvl w:ilvl="1">
      <w:start w:val="0"/>
      <w:numFmt w:val="decimal"/>
      <w:lvlJc w:val="left"/>
      <w:rPr>
        <w:rFonts w:cs="Times New Roman"/>
        <w:rtl w:val="0"/>
        <w:cs w:val="0"/>
      </w:rPr>
    </w:lvl>
    <w:lvl w:ilvl="2">
      <w:start w:val="0"/>
      <w:numFmt w:val="decimal"/>
      <w:lvlJc w:val="left"/>
      <w:rPr>
        <w:rFonts w:cs="Times New Roman"/>
        <w:rtl w:val="0"/>
        <w:cs w:val="0"/>
      </w:rPr>
    </w:lvl>
    <w:lvl w:ilvl="3">
      <w:start w:val="0"/>
      <w:numFmt w:val="decimal"/>
      <w:lvlJc w:val="left"/>
      <w:rPr>
        <w:rFonts w:cs="Times New Roman"/>
        <w:rtl w:val="0"/>
        <w:cs w:val="0"/>
      </w:rPr>
    </w:lvl>
    <w:lvl w:ilvl="4">
      <w:start w:val="0"/>
      <w:numFmt w:val="decimal"/>
      <w:lvlJc w:val="left"/>
      <w:rPr>
        <w:rFonts w:cs="Times New Roman"/>
        <w:rtl w:val="0"/>
        <w:cs w:val="0"/>
      </w:rPr>
    </w:lvl>
    <w:lvl w:ilvl="5">
      <w:start w:val="0"/>
      <w:numFmt w:val="decimal"/>
      <w:lvlJc w:val="left"/>
      <w:rPr>
        <w:rFonts w:cs="Times New Roman"/>
        <w:rtl w:val="0"/>
        <w:cs w:val="0"/>
      </w:rPr>
    </w:lvl>
    <w:lvl w:ilvl="6">
      <w:start w:val="0"/>
      <w:numFmt w:val="decimal"/>
      <w:lvlJc w:val="left"/>
      <w:rPr>
        <w:rFonts w:cs="Times New Roman"/>
        <w:rtl w:val="0"/>
        <w:cs w:val="0"/>
      </w:rPr>
    </w:lvl>
    <w:lvl w:ilvl="7">
      <w:start w:val="0"/>
      <w:numFmt w:val="decimal"/>
      <w:lvlJc w:val="left"/>
      <w:rPr>
        <w:rFonts w:cs="Times New Roman"/>
        <w:rtl w:val="0"/>
        <w:cs w:val="0"/>
      </w:rPr>
    </w:lvl>
    <w:lvl w:ilvl="8">
      <w:start w:val="0"/>
      <w:numFmt w:val="decimal"/>
      <w:lvlJc w:val="left"/>
      <w:rPr>
        <w:rFonts w:cs="Times New Roman"/>
        <w:rtl w:val="0"/>
        <w:cs w:val="0"/>
      </w:rPr>
    </w:lvl>
  </w:abstractNum>
  <w:abstractNum w:abstractNumId="4">
    <w:nsid w:val="2BAE720D"/>
    <w:multiLevelType w:val="hybridMultilevel"/>
    <w:tmpl w:val="22C8B562"/>
    <w:lvl w:ilvl="0">
      <w:start w:val="0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>
    <w:nsid w:val="31C053DD"/>
    <w:multiLevelType w:val="hybridMultilevel"/>
    <w:tmpl w:val="EC9A96C6"/>
    <w:lvl w:ilvl="0">
      <w:start w:val="1"/>
      <w:numFmt w:val="bullet"/>
      <w:lvlText w:val="-"/>
      <w:lvlJc w:val="left"/>
      <w:pPr>
        <w:tabs>
          <w:tab w:val="num" w:pos="1590"/>
        </w:tabs>
        <w:ind w:left="1590" w:hanging="510"/>
      </w:pPr>
      <w:rPr>
        <w:rFonts w:ascii="Times New Roman" w:eastAsia="MS Mincho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52FE18C0"/>
    <w:multiLevelType w:val="multilevel"/>
    <w:tmpl w:val="573C18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rtl w:val="0"/>
        <w:cs w:val="0"/>
      </w:rPr>
    </w:lvl>
    <w:lvl w:ilvl="1">
      <w:start w:val="0"/>
      <w:numFmt w:val="decimal"/>
      <w:lvlJc w:val="left"/>
      <w:rPr>
        <w:rFonts w:cs="Times New Roman"/>
        <w:rtl w:val="0"/>
        <w:cs w:val="0"/>
      </w:rPr>
    </w:lvl>
    <w:lvl w:ilvl="2">
      <w:start w:val="0"/>
      <w:numFmt w:val="decimal"/>
      <w:lvlJc w:val="left"/>
      <w:rPr>
        <w:rFonts w:cs="Times New Roman"/>
        <w:rtl w:val="0"/>
        <w:cs w:val="0"/>
      </w:rPr>
    </w:lvl>
    <w:lvl w:ilvl="3">
      <w:start w:val="0"/>
      <w:numFmt w:val="decimal"/>
      <w:lvlJc w:val="left"/>
      <w:rPr>
        <w:rFonts w:cs="Times New Roman"/>
        <w:rtl w:val="0"/>
        <w:cs w:val="0"/>
      </w:rPr>
    </w:lvl>
    <w:lvl w:ilvl="4">
      <w:start w:val="0"/>
      <w:numFmt w:val="decimal"/>
      <w:lvlJc w:val="left"/>
      <w:rPr>
        <w:rFonts w:cs="Times New Roman"/>
        <w:rtl w:val="0"/>
        <w:cs w:val="0"/>
      </w:rPr>
    </w:lvl>
    <w:lvl w:ilvl="5">
      <w:start w:val="0"/>
      <w:numFmt w:val="decimal"/>
      <w:lvlJc w:val="left"/>
      <w:rPr>
        <w:rFonts w:cs="Times New Roman"/>
        <w:rtl w:val="0"/>
        <w:cs w:val="0"/>
      </w:rPr>
    </w:lvl>
    <w:lvl w:ilvl="6">
      <w:start w:val="0"/>
      <w:numFmt w:val="decimal"/>
      <w:lvlJc w:val="left"/>
      <w:rPr>
        <w:rFonts w:cs="Times New Roman"/>
        <w:rtl w:val="0"/>
        <w:cs w:val="0"/>
      </w:rPr>
    </w:lvl>
    <w:lvl w:ilvl="7">
      <w:start w:val="0"/>
      <w:numFmt w:val="decimal"/>
      <w:lvlJc w:val="left"/>
      <w:rPr>
        <w:rFonts w:cs="Times New Roman"/>
        <w:rtl w:val="0"/>
        <w:cs w:val="0"/>
      </w:rPr>
    </w:lvl>
    <w:lvl w:ilvl="8">
      <w:start w:val="0"/>
      <w:numFmt w:val="decimal"/>
      <w:lvlJc w:val="left"/>
      <w:rPr>
        <w:rFonts w:cs="Times New Roman"/>
        <w:rtl w:val="0"/>
        <w:cs w:val="0"/>
      </w:rPr>
    </w:lvl>
  </w:abstractNum>
  <w:abstractNum w:abstractNumId="7">
    <w:nsid w:val="532A3D45"/>
    <w:multiLevelType w:val="hybridMultilevel"/>
    <w:tmpl w:val="25BE3B40"/>
    <w:lvl w:ilvl="0">
      <w:start w:val="1"/>
      <w:numFmt w:val="decimal"/>
      <w:lvlText w:val="%1."/>
      <w:lvlJc w:val="left"/>
      <w:pPr>
        <w:ind w:left="1287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ind w:left="2007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727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cs="Times New Roman"/>
        <w:rtl w:val="0"/>
        <w:cs w:val="0"/>
      </w:rPr>
    </w:lvl>
  </w:abstractNum>
  <w:abstractNum w:abstractNumId="8">
    <w:nsid w:val="54F741AF"/>
    <w:multiLevelType w:val="hybridMultilevel"/>
    <w:tmpl w:val="3E4A0A08"/>
    <w:lvl w:ilvl="0">
      <w:start w:val="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E2F584D"/>
    <w:multiLevelType w:val="hybridMultilevel"/>
    <w:tmpl w:val="55B6ACE8"/>
    <w:lvl w:ilvl="0">
      <w:start w:val="3"/>
      <w:numFmt w:val="decimal"/>
      <w:lvlText w:val="%1."/>
      <w:lvlJc w:val="left"/>
      <w:pPr>
        <w:ind w:left="927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cs="Times New Roman"/>
        <w:rtl w:val="0"/>
        <w:cs w:val="0"/>
      </w:rPr>
    </w:lvl>
  </w:abstractNum>
  <w:abstractNum w:abstractNumId="10">
    <w:nsid w:val="742D257C"/>
    <w:multiLevelType w:val="multilevel"/>
    <w:tmpl w:val="A2C024A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rtl w:val="0"/>
        <w:cs w:val="0"/>
      </w:rPr>
    </w:lvl>
    <w:lvl w:ilvl="1">
      <w:start w:val="0"/>
      <w:numFmt w:val="decimal"/>
      <w:lvlJc w:val="left"/>
      <w:rPr>
        <w:rFonts w:cs="Times New Roman"/>
        <w:rtl w:val="0"/>
        <w:cs w:val="0"/>
      </w:rPr>
    </w:lvl>
    <w:lvl w:ilvl="2">
      <w:start w:val="0"/>
      <w:numFmt w:val="decimal"/>
      <w:lvlJc w:val="left"/>
      <w:rPr>
        <w:rFonts w:cs="Times New Roman"/>
        <w:rtl w:val="0"/>
        <w:cs w:val="0"/>
      </w:rPr>
    </w:lvl>
    <w:lvl w:ilvl="3">
      <w:start w:val="0"/>
      <w:numFmt w:val="decimal"/>
      <w:lvlJc w:val="left"/>
      <w:rPr>
        <w:rFonts w:cs="Times New Roman"/>
        <w:rtl w:val="0"/>
        <w:cs w:val="0"/>
      </w:rPr>
    </w:lvl>
    <w:lvl w:ilvl="4">
      <w:start w:val="0"/>
      <w:numFmt w:val="decimal"/>
      <w:lvlJc w:val="left"/>
      <w:rPr>
        <w:rFonts w:cs="Times New Roman"/>
        <w:rtl w:val="0"/>
        <w:cs w:val="0"/>
      </w:rPr>
    </w:lvl>
    <w:lvl w:ilvl="5">
      <w:start w:val="0"/>
      <w:numFmt w:val="decimal"/>
      <w:lvlJc w:val="left"/>
      <w:rPr>
        <w:rFonts w:cs="Times New Roman"/>
        <w:rtl w:val="0"/>
        <w:cs w:val="0"/>
      </w:rPr>
    </w:lvl>
    <w:lvl w:ilvl="6">
      <w:start w:val="0"/>
      <w:numFmt w:val="decimal"/>
      <w:lvlJc w:val="left"/>
      <w:rPr>
        <w:rFonts w:cs="Times New Roman"/>
        <w:rtl w:val="0"/>
        <w:cs w:val="0"/>
      </w:rPr>
    </w:lvl>
    <w:lvl w:ilvl="7">
      <w:start w:val="0"/>
      <w:numFmt w:val="decimal"/>
      <w:lvlJc w:val="left"/>
      <w:rPr>
        <w:rFonts w:cs="Times New Roman"/>
        <w:rtl w:val="0"/>
        <w:cs w:val="0"/>
      </w:rPr>
    </w:lvl>
    <w:lvl w:ilvl="8">
      <w:start w:val="0"/>
      <w:numFmt w:val="decimal"/>
      <w:lvlJc w:val="left"/>
      <w:rPr>
        <w:rFonts w:cs="Times New Roman"/>
        <w:rtl w:val="0"/>
        <w:cs w:val="0"/>
      </w:rPr>
    </w:lvl>
  </w:abstractNum>
  <w:num w:numId="1">
    <w:abstractNumId w:val="6"/>
  </w:num>
  <w:num w:numId="2">
    <w:abstractNumId w:val="10"/>
  </w:num>
  <w:num w:numId="3">
    <w:abstractNumId w:val="3"/>
  </w:num>
  <w:num w:numId="4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"/>
  </w:num>
  <w:num w:numId="6">
    <w:abstractNumId w:val="9"/>
  </w:num>
  <w:num w:numId="7">
    <w:abstractNumId w:val="0"/>
  </w:num>
  <w:num w:numId="8">
    <w:abstractNumId w:val="8"/>
  </w:num>
  <w:num w:numId="9">
    <w:abstractNumId w:val="7"/>
  </w:num>
  <w:num w:numId="10">
    <w:abstractNumId w:val="2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9"/>
  <w:hyphenationZone w:val="425"/>
  <w:drawingGridHorizontalSpacing w:val="120"/>
  <w:drawingGridVerticalSpacing w:val="181"/>
  <w:displayHorizontalDrawingGridEvery w:val="2"/>
  <w:characterSpacingControl w:val="compressPunctuation"/>
  <w:compat>
    <w:doNotExpandShiftReturn/>
  </w:compat>
  <w:rsids>
    <w:rsidRoot w:val="00A63DC8"/>
    <w:rsid w:val="000531E0"/>
    <w:rsid w:val="00191EB9"/>
    <w:rsid w:val="00222763"/>
    <w:rsid w:val="0024397A"/>
    <w:rsid w:val="002B6C09"/>
    <w:rsid w:val="003146C5"/>
    <w:rsid w:val="00336C00"/>
    <w:rsid w:val="003E2A8E"/>
    <w:rsid w:val="005B0B9D"/>
    <w:rsid w:val="005B64A6"/>
    <w:rsid w:val="00704718"/>
    <w:rsid w:val="00763E86"/>
    <w:rsid w:val="0077668D"/>
    <w:rsid w:val="007A74B5"/>
    <w:rsid w:val="007C686C"/>
    <w:rsid w:val="00902377"/>
    <w:rsid w:val="00910C34"/>
    <w:rsid w:val="00937D88"/>
    <w:rsid w:val="00A10AF5"/>
    <w:rsid w:val="00A63DC8"/>
    <w:rsid w:val="00BE5DBA"/>
    <w:rsid w:val="00C34125"/>
    <w:rsid w:val="00C37E0D"/>
    <w:rsid w:val="00C973B7"/>
    <w:rsid w:val="00CF5FB8"/>
    <w:rsid w:val="00D859C5"/>
    <w:rsid w:val="00E7061E"/>
    <w:rsid w:val="00FE3620"/>
  </w:rsids>
  <m:mathPr>
    <m:mathFont m:val="Cambria Math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Times New Roman" w:hAnsi="Tahoma" w:cs="Tahoma"/>
        <w:sz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framePr w:wrap="auto"/>
      <w:widowControl w:val="0"/>
      <w:autoSpaceDE/>
      <w:autoSpaceDN/>
      <w:adjustRightInd/>
      <w:ind w:left="0" w:right="0"/>
      <w:jc w:val="left"/>
      <w:textAlignment w:val="auto"/>
    </w:pPr>
    <w:rPr>
      <w:rFonts w:ascii="Tahoma" w:hAnsi="Tahoma" w:cs="Tahoma"/>
      <w:color w:val="000000"/>
      <w:sz w:val="24"/>
      <w:szCs w:val="24"/>
      <w:rtl w:val="0"/>
      <w:cs w:val="0"/>
      <w:lang w:val="uk-UA" w:eastAsia="uk-UA" w:bidi="ar-SA"/>
    </w:rPr>
  </w:style>
  <w:style w:type="paragraph" w:styleId="Heading2">
    <w:name w:val="heading 2"/>
    <w:basedOn w:val="Normal"/>
    <w:next w:val="Normal"/>
    <w:link w:val="2"/>
    <w:uiPriority w:val="9"/>
    <w:semiHidden/>
    <w:unhideWhenUsed/>
    <w:qFormat/>
    <w:pPr>
      <w:keepNext/>
      <w:widowControl/>
      <w:spacing w:before="240" w:after="60"/>
      <w:jc w:val="left"/>
      <w:outlineLvl w:val="1"/>
    </w:pPr>
    <w:rPr>
      <w:rFonts w:ascii="Cambria" w:hAnsi="Cambria" w:cs="Times New Roman"/>
      <w:b/>
      <w:bCs/>
      <w:i/>
      <w:iCs/>
      <w:color w:val="auto"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Заголовок 2 Знак"/>
    <w:basedOn w:val="DefaultParagraphFont"/>
    <w:link w:val="Heading2"/>
    <w:uiPriority w:val="9"/>
    <w:semiHidden/>
    <w:locked/>
    <w:rPr>
      <w:rFonts w:ascii="Cambria" w:hAnsi="Cambria" w:cs="Times New Roman"/>
      <w:b/>
      <w:bCs/>
      <w:i/>
      <w:iCs/>
      <w:sz w:val="28"/>
      <w:szCs w:val="28"/>
      <w:rtl w:val="0"/>
      <w:cs w:val="0"/>
      <w:lang w:val="x-none" w:eastAsia="ru-RU" w:bidi="ar-SA"/>
    </w:rPr>
  </w:style>
  <w:style w:type="character" w:styleId="Hyperlink">
    <w:name w:val="Hyperlink"/>
    <w:basedOn w:val="DefaultParagraphFont"/>
    <w:uiPriority w:val="99"/>
    <w:rPr>
      <w:rFonts w:cs="Times New Roman"/>
      <w:color w:val="0066CC"/>
      <w:u w:val="single"/>
      <w:rtl w:val="0"/>
      <w:cs w:val="0"/>
    </w:rPr>
  </w:style>
  <w:style w:type="character" w:customStyle="1" w:styleId="1">
    <w:name w:val="Заголовок №1_"/>
    <w:basedOn w:val="DefaultParagraphFont"/>
    <w:link w:val="10"/>
    <w:locked/>
    <w:rPr>
      <w:rFonts w:ascii="Times New Roman" w:hAnsi="Times New Roman" w:cs="Times New Roman"/>
      <w:b/>
      <w:bCs/>
      <w:sz w:val="26"/>
      <w:szCs w:val="26"/>
      <w:u w:val="none"/>
      <w:rtl w:val="0"/>
      <w:cs w:val="0"/>
    </w:rPr>
  </w:style>
  <w:style w:type="character" w:customStyle="1" w:styleId="3">
    <w:name w:val="Основной текст (3)_"/>
    <w:basedOn w:val="DefaultParagraphFont"/>
    <w:link w:val="30"/>
    <w:locked/>
    <w:rPr>
      <w:rFonts w:ascii="Times New Roman" w:hAnsi="Times New Roman" w:cs="Times New Roman"/>
      <w:b/>
      <w:bCs/>
      <w:sz w:val="26"/>
      <w:szCs w:val="26"/>
      <w:u w:val="none"/>
      <w:rtl w:val="0"/>
      <w:cs w:val="0"/>
    </w:rPr>
  </w:style>
  <w:style w:type="character" w:customStyle="1" w:styleId="20">
    <w:name w:val="Основной текст (2)_"/>
    <w:basedOn w:val="DefaultParagraphFont"/>
    <w:link w:val="211"/>
    <w:locked/>
    <w:rPr>
      <w:rFonts w:ascii="Times New Roman" w:hAnsi="Times New Roman" w:cs="Times New Roman"/>
      <w:sz w:val="26"/>
      <w:szCs w:val="26"/>
      <w:u w:val="none"/>
      <w:rtl w:val="0"/>
      <w:cs w:val="0"/>
    </w:rPr>
  </w:style>
  <w:style w:type="character" w:customStyle="1" w:styleId="21">
    <w:name w:val="Основной текст (2)"/>
    <w:basedOn w:val="20"/>
    <w:rPr>
      <w:color w:val="000000"/>
      <w:spacing w:val="0"/>
      <w:w w:val="100"/>
      <w:position w:val="0"/>
      <w:u w:val="single"/>
      <w:lang w:val="uk-UA" w:eastAsia="uk-UA"/>
    </w:rPr>
  </w:style>
  <w:style w:type="character" w:customStyle="1" w:styleId="22">
    <w:name w:val="Основной текст (2) + Полужирный"/>
    <w:aliases w:val="Интервал -1 pt"/>
    <w:basedOn w:val="20"/>
    <w:rPr>
      <w:b/>
      <w:bCs/>
      <w:color w:val="000000"/>
      <w:spacing w:val="-20"/>
      <w:w w:val="100"/>
      <w:position w:val="0"/>
      <w:u w:val="single"/>
      <w:lang w:val="uk-UA" w:eastAsia="uk-UA"/>
    </w:rPr>
  </w:style>
  <w:style w:type="character" w:customStyle="1" w:styleId="210">
    <w:name w:val="Основной текст (2) + Полужирный1"/>
    <w:aliases w:val="Интервал -1 pt1"/>
    <w:basedOn w:val="20"/>
    <w:rPr>
      <w:b/>
      <w:bCs/>
      <w:color w:val="000000"/>
      <w:spacing w:val="-20"/>
      <w:w w:val="100"/>
      <w:position w:val="0"/>
      <w:lang w:val="uk-UA" w:eastAsia="uk-UA"/>
    </w:rPr>
  </w:style>
  <w:style w:type="character" w:customStyle="1" w:styleId="217pt">
    <w:name w:val="Основной текст (2) + 17 pt"/>
    <w:aliases w:val="Курсив"/>
    <w:basedOn w:val="20"/>
    <w:rPr>
      <w:i/>
      <w:iCs/>
      <w:color w:val="000000"/>
      <w:spacing w:val="0"/>
      <w:w w:val="100"/>
      <w:position w:val="0"/>
      <w:sz w:val="34"/>
      <w:szCs w:val="34"/>
      <w:lang w:val="uk-UA" w:eastAsia="uk-UA"/>
    </w:rPr>
  </w:style>
  <w:style w:type="paragraph" w:customStyle="1" w:styleId="10">
    <w:name w:val="Заголовок №1"/>
    <w:basedOn w:val="Normal"/>
    <w:link w:val="1"/>
    <w:pPr>
      <w:shd w:val="clear" w:color="auto" w:fill="FFFFFF"/>
      <w:spacing w:line="312" w:lineRule="exact"/>
      <w:jc w:val="center"/>
      <w:outlineLvl w:val="0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30">
    <w:name w:val="Основной текст (3)"/>
    <w:basedOn w:val="Normal"/>
    <w:link w:val="3"/>
    <w:pPr>
      <w:shd w:val="clear" w:color="auto" w:fill="FFFFFF"/>
      <w:spacing w:after="240" w:line="312" w:lineRule="exact"/>
      <w:jc w:val="center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211">
    <w:name w:val="Основной текст (2)1"/>
    <w:basedOn w:val="Normal"/>
    <w:link w:val="20"/>
    <w:pPr>
      <w:shd w:val="clear" w:color="auto" w:fill="FFFFFF"/>
      <w:spacing w:line="307" w:lineRule="exact"/>
      <w:jc w:val="both"/>
    </w:pPr>
    <w:rPr>
      <w:rFonts w:ascii="Times New Roman" w:hAnsi="Times New Roman" w:cs="Times New Roman"/>
      <w:sz w:val="26"/>
      <w:szCs w:val="26"/>
    </w:rPr>
  </w:style>
  <w:style w:type="paragraph" w:styleId="NoSpacing">
    <w:name w:val="No Spacing"/>
    <w:uiPriority w:val="1"/>
    <w:qFormat/>
    <w:pPr>
      <w:framePr w:wrap="auto"/>
      <w:widowControl/>
      <w:autoSpaceDE/>
      <w:autoSpaceDN/>
      <w:adjustRightInd/>
      <w:ind w:left="0" w:right="0"/>
      <w:jc w:val="left"/>
      <w:textAlignment w:val="auto"/>
    </w:pPr>
    <w:rPr>
      <w:rFonts w:cs="Times New Roman"/>
      <w:sz w:val="24"/>
      <w:szCs w:val="24"/>
      <w:rtl w:val="0"/>
      <w:cs w:val="0"/>
      <w:lang w:val="ru-RU" w:eastAsia="ru-RU" w:bidi="ar-SA"/>
    </w:rPr>
  </w:style>
  <w:style w:type="paragraph" w:styleId="Header">
    <w:name w:val="header"/>
    <w:basedOn w:val="Normal"/>
    <w:link w:val="a"/>
    <w:uiPriority w:val="99"/>
    <w:unhideWhenUsed/>
    <w:pPr>
      <w:tabs>
        <w:tab w:val="center" w:pos="4819"/>
        <w:tab w:val="right" w:pos="9639"/>
      </w:tabs>
      <w:jc w:val="left"/>
    </w:pPr>
  </w:style>
  <w:style w:type="character" w:customStyle="1" w:styleId="a">
    <w:name w:val="Верхній колонтитул Знак"/>
    <w:basedOn w:val="DefaultParagraphFont"/>
    <w:link w:val="Header"/>
    <w:uiPriority w:val="99"/>
    <w:locked/>
    <w:rPr>
      <w:rFonts w:cs="Times New Roman"/>
      <w:color w:val="000000"/>
      <w:rtl w:val="0"/>
      <w:cs w:val="0"/>
    </w:rPr>
  </w:style>
  <w:style w:type="paragraph" w:styleId="Footer">
    <w:name w:val="footer"/>
    <w:basedOn w:val="Normal"/>
    <w:link w:val="a0"/>
    <w:uiPriority w:val="99"/>
    <w:unhideWhenUsed/>
    <w:pPr>
      <w:tabs>
        <w:tab w:val="center" w:pos="4819"/>
        <w:tab w:val="right" w:pos="9639"/>
      </w:tabs>
      <w:jc w:val="left"/>
    </w:pPr>
  </w:style>
  <w:style w:type="character" w:customStyle="1" w:styleId="a0">
    <w:name w:val="Нижній колонтитул Знак"/>
    <w:basedOn w:val="DefaultParagraphFont"/>
    <w:link w:val="Footer"/>
    <w:uiPriority w:val="99"/>
    <w:locked/>
    <w:rPr>
      <w:rFonts w:cs="Times New Roman"/>
      <w:color w:val="000000"/>
      <w:rtl w:val="0"/>
      <w:cs w:val="0"/>
    </w:rPr>
  </w:style>
  <w:style w:type="paragraph" w:customStyle="1" w:styleId="StyleOstRed">
    <w:name w:val="StyleOstRed"/>
    <w:basedOn w:val="Normal"/>
    <w:pPr>
      <w:widowControl/>
      <w:overflowPunct w:val="0"/>
      <w:autoSpaceDE w:val="0"/>
      <w:autoSpaceDN w:val="0"/>
      <w:adjustRightInd w:val="0"/>
      <w:spacing w:after="120"/>
      <w:ind w:firstLine="720"/>
      <w:jc w:val="both"/>
      <w:textAlignment w:val="baseline"/>
    </w:pPr>
    <w:rPr>
      <w:rFonts w:ascii="Times New Roman" w:eastAsia="MS Mincho" w:hAnsi="Times New Roman" w:cs="Times New Roman"/>
      <w:color w:val="auto"/>
      <w:sz w:val="28"/>
      <w:szCs w:val="28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pPr>
      <w:jc w:val="left"/>
    </w:pPr>
    <w:rPr>
      <w:sz w:val="16"/>
      <w:szCs w:val="16"/>
    </w:rPr>
  </w:style>
  <w:style w:type="character" w:customStyle="1" w:styleId="a1">
    <w:name w:val="Текст у виносці Знак"/>
    <w:basedOn w:val="DefaultParagraphFont"/>
    <w:link w:val="BalloonText"/>
    <w:uiPriority w:val="99"/>
    <w:semiHidden/>
    <w:locked/>
    <w:rPr>
      <w:rFonts w:cs="Times New Roman"/>
      <w:color w:val="000000"/>
      <w:sz w:val="16"/>
      <w:szCs w:val="16"/>
      <w:rtl w:val="0"/>
      <w:cs w:val="0"/>
    </w:rPr>
  </w:style>
  <w:style w:type="paragraph" w:styleId="BodyText2">
    <w:name w:val="Body Text 2"/>
    <w:basedOn w:val="Normal"/>
    <w:link w:val="23"/>
    <w:uiPriority w:val="99"/>
    <w:pPr>
      <w:shd w:val="clear" w:color="auto" w:fill="FFFFFF"/>
      <w:spacing w:line="360" w:lineRule="auto"/>
      <w:ind w:firstLine="720"/>
      <w:jc w:val="both"/>
    </w:pPr>
    <w:rPr>
      <w:rFonts w:ascii="Times New Roman" w:hAnsi="Times New Roman" w:cs="Times New Roman"/>
      <w:sz w:val="28"/>
      <w:szCs w:val="20"/>
      <w:lang w:eastAsia="ru-RU"/>
    </w:rPr>
  </w:style>
  <w:style w:type="character" w:customStyle="1" w:styleId="23">
    <w:name w:val="Основний текст 2 Знак"/>
    <w:basedOn w:val="DefaultParagraphFont"/>
    <w:link w:val="BodyText2"/>
    <w:uiPriority w:val="99"/>
    <w:semiHidden/>
    <w:locked/>
    <w:rPr>
      <w:rFonts w:cs="Times New Roman"/>
      <w:color w:val="000000"/>
      <w:rtl w:val="0"/>
      <w:cs w:val="0"/>
    </w:rPr>
  </w:style>
  <w:style w:type="paragraph" w:styleId="ListParagraph">
    <w:name w:val="List Paragraph"/>
    <w:basedOn w:val="Normal"/>
    <w:uiPriority w:val="34"/>
    <w:qFormat/>
    <w:pPr>
      <w:widowControl/>
      <w:ind w:left="720"/>
      <w:contextualSpacing/>
      <w:jc w:val="left"/>
    </w:pPr>
    <w:rPr>
      <w:rFonts w:ascii="Times New Roman" w:hAnsi="Times New Roman" w:cs="Times New Roman"/>
      <w:color w:val="auto"/>
      <w:lang w:val="ru-RU" w:eastAsia="ru-RU"/>
    </w:rPr>
  </w:style>
  <w:style w:type="paragraph" w:customStyle="1" w:styleId="a2">
    <w:name w:val="a"/>
    <w:basedOn w:val="Normal"/>
    <w:pPr>
      <w:widowControl/>
      <w:spacing w:before="100" w:beforeAutospacing="1" w:after="100" w:afterAutospacing="1"/>
      <w:jc w:val="left"/>
    </w:pPr>
    <w:rPr>
      <w:rFonts w:ascii="Times New Roman" w:eastAsia="MS Mincho" w:hAnsi="Times New Roman" w:cs="Times New Roman"/>
      <w:color w:val="auto"/>
      <w:lang w:val="ru-RU"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yperlink" Target="http://zakon1.rada.gov.ua/laws/show/80-19" TargetMode="External" /><Relationship Id="rId6" Type="http://schemas.openxmlformats.org/officeDocument/2006/relationships/footer" Target="footer1.xml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258B2E-5DD5-44BE-8276-B35F6B024E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140</TotalTime>
  <Pages>4</Pages>
  <Words>6271</Words>
  <Characters>3576</Characters>
  <Application>Microsoft Office Word</Application>
  <DocSecurity>0</DocSecurity>
  <Lines>0</Lines>
  <Paragraphs>0</Paragraphs>
  <ScaleCrop>false</ScaleCrop>
  <Company>SPecialiST RePack</Company>
  <LinksUpToDate>false</LinksUpToDate>
  <CharactersWithSpaces>9828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Павло Валерійович Тимофієв</dc:creator>
  <cp:lastModifiedBy>Волинець Михайло Якович</cp:lastModifiedBy>
  <cp:revision>5</cp:revision>
  <cp:lastPrinted>2019-05-17T09:09:00Z</cp:lastPrinted>
  <dcterms:created xsi:type="dcterms:W3CDTF">2019-08-28T13:45:00Z</dcterms:created>
  <dcterms:modified xsi:type="dcterms:W3CDTF">2019-12-13T17:15:00Z</dcterms:modified>
</cp:coreProperties>
</file>