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073" w:rsidRPr="00B666D2" w:rsidRDefault="00D20BB0" w:rsidP="00E535E3">
      <w:pPr>
        <w:pStyle w:val="a3"/>
        <w:spacing w:before="0"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ПОРІВ</w:t>
      </w:r>
      <w:r w:rsidR="0040653F">
        <w:rPr>
          <w:rFonts w:ascii="Times New Roman" w:hAnsi="Times New Roman"/>
          <w:sz w:val="28"/>
          <w:szCs w:val="28"/>
        </w:rPr>
        <w:t>НЯЛЬНА ТАБЛИЦЯ</w:t>
      </w:r>
    </w:p>
    <w:p w:rsidR="00E535E3" w:rsidRPr="00E535E3" w:rsidRDefault="009D5073" w:rsidP="00E535E3">
      <w:pPr>
        <w:pStyle w:val="a3"/>
        <w:spacing w:before="0" w:after="0" w:line="276" w:lineRule="auto"/>
        <w:rPr>
          <w:rFonts w:ascii="Times New Roman" w:hAnsi="Times New Roman"/>
          <w:sz w:val="28"/>
          <w:szCs w:val="28"/>
        </w:rPr>
      </w:pPr>
      <w:r w:rsidRPr="00B666D2">
        <w:rPr>
          <w:rFonts w:ascii="Times New Roman" w:hAnsi="Times New Roman"/>
          <w:sz w:val="28"/>
          <w:szCs w:val="28"/>
        </w:rPr>
        <w:t>до</w:t>
      </w:r>
      <w:r w:rsidR="00E064EF" w:rsidRPr="00B666D2">
        <w:rPr>
          <w:rFonts w:ascii="Times New Roman" w:hAnsi="Times New Roman"/>
          <w:sz w:val="28"/>
          <w:szCs w:val="28"/>
        </w:rPr>
        <w:t xml:space="preserve"> проекту Закону України </w:t>
      </w:r>
      <w:r w:rsidR="00E535E3" w:rsidRPr="00E535E3">
        <w:rPr>
          <w:rFonts w:ascii="Times New Roman" w:hAnsi="Times New Roman"/>
          <w:sz w:val="28"/>
          <w:szCs w:val="28"/>
        </w:rPr>
        <w:t>«Про внесення зміни до Закону України «Про технічні регламенти</w:t>
      </w:r>
    </w:p>
    <w:p w:rsidR="00E535E3" w:rsidRDefault="00E535E3" w:rsidP="00E535E3">
      <w:pPr>
        <w:pStyle w:val="a3"/>
        <w:spacing w:before="0" w:after="0" w:line="276" w:lineRule="auto"/>
        <w:rPr>
          <w:rFonts w:ascii="Times New Roman" w:hAnsi="Times New Roman"/>
          <w:sz w:val="28"/>
          <w:szCs w:val="28"/>
        </w:rPr>
      </w:pPr>
      <w:r w:rsidRPr="00E535E3">
        <w:rPr>
          <w:rFonts w:ascii="Times New Roman" w:hAnsi="Times New Roman"/>
          <w:sz w:val="28"/>
          <w:szCs w:val="28"/>
        </w:rPr>
        <w:t xml:space="preserve">та оцінку відповідності» щодо питання взаємного визнання оцінки відповідності та прийнятності </w:t>
      </w:r>
    </w:p>
    <w:p w:rsidR="00E064EF" w:rsidRDefault="00E535E3" w:rsidP="00E535E3">
      <w:pPr>
        <w:pStyle w:val="a3"/>
        <w:spacing w:before="0" w:after="0" w:line="276" w:lineRule="auto"/>
        <w:rPr>
          <w:rFonts w:ascii="Times New Roman" w:hAnsi="Times New Roman"/>
          <w:sz w:val="28"/>
          <w:szCs w:val="28"/>
        </w:rPr>
      </w:pPr>
      <w:r w:rsidRPr="00E535E3">
        <w:rPr>
          <w:rFonts w:ascii="Times New Roman" w:hAnsi="Times New Roman"/>
          <w:sz w:val="28"/>
          <w:szCs w:val="28"/>
        </w:rPr>
        <w:t>промислових товарів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35E3">
        <w:rPr>
          <w:rFonts w:ascii="Times New Roman" w:hAnsi="Times New Roman"/>
          <w:sz w:val="28"/>
          <w:szCs w:val="28"/>
        </w:rPr>
        <w:t>з Європейським Союзом»</w:t>
      </w:r>
    </w:p>
    <w:p w:rsidR="00B24D63" w:rsidRPr="002F4D8F" w:rsidRDefault="00B24D63" w:rsidP="00E535E3">
      <w:pPr>
        <w:rPr>
          <w:sz w:val="16"/>
          <w:szCs w:val="16"/>
          <w:lang w:val="uk-UA" w:eastAsia="ru-RU"/>
        </w:rPr>
      </w:pPr>
    </w:p>
    <w:tbl>
      <w:tblPr>
        <w:tblStyle w:val="a4"/>
        <w:tblW w:w="15276" w:type="dxa"/>
        <w:tblLayout w:type="fixed"/>
        <w:tblLook w:val="00A0" w:firstRow="1" w:lastRow="0" w:firstColumn="1" w:lastColumn="0" w:noHBand="0" w:noVBand="0"/>
      </w:tblPr>
      <w:tblGrid>
        <w:gridCol w:w="7621"/>
        <w:gridCol w:w="7229"/>
        <w:gridCol w:w="426"/>
      </w:tblGrid>
      <w:tr w:rsidR="004C4EC0" w:rsidRPr="00B666D2" w:rsidTr="00EE4091">
        <w:tc>
          <w:tcPr>
            <w:tcW w:w="7621" w:type="dxa"/>
          </w:tcPr>
          <w:p w:rsidR="00AC4F10" w:rsidRPr="00B666D2" w:rsidRDefault="000C08B6" w:rsidP="00B24D6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B666D2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Норма (положення) законодавчого </w:t>
            </w:r>
            <w:proofErr w:type="spellStart"/>
            <w:r w:rsidRPr="00B666D2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акта</w:t>
            </w:r>
            <w:proofErr w:type="spellEnd"/>
            <w:r w:rsidRPr="00B666D2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 в чинній редакції</w:t>
            </w:r>
          </w:p>
        </w:tc>
        <w:tc>
          <w:tcPr>
            <w:tcW w:w="7655" w:type="dxa"/>
            <w:gridSpan w:val="2"/>
          </w:tcPr>
          <w:p w:rsidR="00AC4F10" w:rsidRPr="00B666D2" w:rsidRDefault="000C08B6" w:rsidP="00B24D6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B666D2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Норма (положення) законодавчого </w:t>
            </w:r>
            <w:proofErr w:type="spellStart"/>
            <w:r w:rsidRPr="00B666D2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акта</w:t>
            </w:r>
            <w:proofErr w:type="spellEnd"/>
            <w:r w:rsidRPr="00B666D2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 в редакції проекту Закону</w:t>
            </w:r>
          </w:p>
        </w:tc>
      </w:tr>
      <w:tr w:rsidR="009C6C95" w:rsidRPr="00B666D2" w:rsidTr="00EE4091">
        <w:tc>
          <w:tcPr>
            <w:tcW w:w="15276" w:type="dxa"/>
            <w:gridSpan w:val="3"/>
          </w:tcPr>
          <w:p w:rsidR="00E535E3" w:rsidRDefault="00E535E3" w:rsidP="00EE4091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E535E3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Закон України «Про технічні регламенти</w:t>
            </w:r>
            <w:r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 w:rsidRPr="00E535E3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та оцінку відповідності»</w:t>
            </w:r>
          </w:p>
          <w:p w:rsidR="00EE4091" w:rsidRPr="00B666D2" w:rsidRDefault="00EE4091" w:rsidP="00EE4091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EE4091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(Відомості Верховної Ради (ВВР), 2015, № 14, ст.96)</w:t>
            </w:r>
          </w:p>
        </w:tc>
      </w:tr>
      <w:tr w:rsidR="009C6C95" w:rsidRPr="00B666D2" w:rsidTr="00EE4091">
        <w:tc>
          <w:tcPr>
            <w:tcW w:w="7621" w:type="dxa"/>
          </w:tcPr>
          <w:p w:rsidR="00EE4091" w:rsidRDefault="00EE4091" w:rsidP="00EE4091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EE4091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Стаття 45. Визнання результатів оцінки відповідності, проведеної за межами України</w:t>
            </w:r>
          </w:p>
          <w:p w:rsidR="00F95092" w:rsidRPr="00F95092" w:rsidRDefault="00F95092" w:rsidP="00F95092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F95092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1. Результати оцінки відповідності вимогам технічних регламентів, проведеної в іншій державі, визнаються і приймаються в Україні, якщо застосовані в цій державі процедури оцінки відповідності (навіть якщо вони відрізняються від українських процедур) забезпечують такий самий або вищий рівень відповідності вимогам відповідних технічних регламентів, як і українські процедури оцінки відповідності.</w:t>
            </w:r>
          </w:p>
          <w:p w:rsidR="00F95092" w:rsidRPr="00F95092" w:rsidRDefault="00F95092" w:rsidP="00F95092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F95092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2. Результати оцінки відповідності (протоколи випробувань, документи про відповідність тощо) вимогам технічних регламентів, проведеної в інших державах, визнаються і приймаються в Україні згідно з положеннями чинних міжнародних договорів України, які передбачають взаємне визнання результатів оцінки відповідності.</w:t>
            </w:r>
          </w:p>
          <w:p w:rsidR="00F95092" w:rsidRPr="00F95092" w:rsidRDefault="00F95092" w:rsidP="00F95092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F95092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lastRenderedPageBreak/>
              <w:t>3. Призначені органи мають право визнавати і приймати результати оцінки відповідності (протоколи випробувань, документи про відповідність тощо) вимогам технічних регламентів, проведеної іноземними акредитованими органами з оцінки відповідності, на підставі укладених з такими органами договорів про визнання результатів оцінки відповідності, за умови якщо:</w:t>
            </w:r>
          </w:p>
          <w:p w:rsidR="00F95092" w:rsidRPr="00F95092" w:rsidRDefault="00F95092" w:rsidP="00F95092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F95092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національні органи з акредитації, які акредитують органи з оцінки відповідності як в Україні, так і в іншій державі, є членами міжнародної або регіональної організації з акредитації та/або уклали угоду про взаємне визнання з такою організацією стосовно відповідних видів діяльності з оцінки відповідності;</w:t>
            </w:r>
          </w:p>
          <w:p w:rsidR="002814E8" w:rsidRDefault="00F95092" w:rsidP="00F95092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F95092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призначений орган на підставі результатів оцінки відповідності (протоколів випробувань, документів про відповідність тощо), проведеної іноземним акредитованим органом з оцінки відповідності, застосовує процедуру оцінки відповідності або її частину та видає документ про відповідність, передбачений цією процедурою, під свою відповідальність.</w:t>
            </w:r>
          </w:p>
          <w:p w:rsidR="005C286D" w:rsidRPr="00EE4091" w:rsidRDefault="005C286D" w:rsidP="00F95092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…</w:t>
            </w:r>
          </w:p>
          <w:p w:rsidR="00EE4091" w:rsidRPr="002814E8" w:rsidRDefault="002814E8" w:rsidP="00EE4091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2814E8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Відсутня</w:t>
            </w:r>
          </w:p>
          <w:p w:rsidR="009C6C95" w:rsidRPr="009C6C95" w:rsidRDefault="009C6C95" w:rsidP="00EE4091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7655" w:type="dxa"/>
            <w:gridSpan w:val="2"/>
          </w:tcPr>
          <w:p w:rsidR="002814E8" w:rsidRDefault="002814E8" w:rsidP="002814E8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2814E8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lastRenderedPageBreak/>
              <w:t>Стаття 45. Визнання результатів оцінки відповідності, проведеної за межами України</w:t>
            </w:r>
          </w:p>
          <w:p w:rsidR="005C286D" w:rsidRPr="005C286D" w:rsidRDefault="005C286D" w:rsidP="005C286D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5C286D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1. Результати оцінки відповідності вимогам технічних регламентів, проведеної в іншій державі, визнаються і приймаються в Україні, якщо застосовані в цій державі процедури оцінки відповідності (навіть якщо вони відрізняються від українських процедур) забезпечують такий самий або вищий рівень відповідності вимогам відповідних технічних регламентів, як і українські процедури оцінки відповідності.</w:t>
            </w:r>
          </w:p>
          <w:p w:rsidR="005C286D" w:rsidRPr="005C286D" w:rsidRDefault="005C286D" w:rsidP="005C286D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5C286D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2. Результати оцінки відповідності (протоколи випробувань, документи про відповідність тощо) вимогам технічних регламентів, проведеної в інших державах, визнаються і приймаються в Україні згідно з положеннями чинних міжнародних договорів України, які передбачають взаємне визнання результатів оцінки відповідності.</w:t>
            </w:r>
          </w:p>
          <w:p w:rsidR="005C286D" w:rsidRPr="005C286D" w:rsidRDefault="005C286D" w:rsidP="005C286D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5C286D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lastRenderedPageBreak/>
              <w:t>3. Призначені органи мають право визнавати і приймати результати оцінки відповідності (протоколи випробувань, документи про відповідність тощо) вимогам технічних регламентів, проведеної іноземними акредитованими органами з оцінки відповідності, на підставі укладених з такими органами договорів про визнання результатів оцінки відповідності, за умови якщо:</w:t>
            </w:r>
          </w:p>
          <w:p w:rsidR="005C286D" w:rsidRPr="005C286D" w:rsidRDefault="005C286D" w:rsidP="005C286D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5C286D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національні органи з акредитації, які акредитують органи з оцінки відповідності як в Україні, так і в іншій державі, є членами міжнародної або регіональної організації з акредитації та/або уклали угоду про взаємне визнання з такою організацією стосовно відповідних видів діяльності з оцінки відповідності;</w:t>
            </w:r>
          </w:p>
          <w:p w:rsidR="005C286D" w:rsidRDefault="005C286D" w:rsidP="002814E8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5C286D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призначений орган на підставі результатів оцінки відповідності (протоколів випробувань, документів про відповідність тощо), проведеної іноземним акредитованим органом з оцінки відповідності, застосовує процедуру оцінки відповідності або її частину та видає документ про відповідність, передбачений цією процедурою, під свою відповідальність.</w:t>
            </w:r>
          </w:p>
          <w:p w:rsidR="005C286D" w:rsidRDefault="005C286D" w:rsidP="002814E8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…</w:t>
            </w:r>
          </w:p>
          <w:p w:rsidR="002814E8" w:rsidRPr="002814E8" w:rsidRDefault="005C286D" w:rsidP="002814E8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40653F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5</w:t>
            </w:r>
            <w:r w:rsidR="002814E8" w:rsidRPr="0040653F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.</w:t>
            </w:r>
            <w:r w:rsidR="002814E8" w:rsidRPr="002814E8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 Взаємне визнання оцінки відповідності та прийнятності промислових товарів між Україною та Європейським Союзом здійснюється відповідно та у сферах, визначених Угодою про оцінку відповідності та прийнятність </w:t>
            </w:r>
            <w:r w:rsidR="002814E8" w:rsidRPr="002814E8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lastRenderedPageBreak/>
              <w:t>промислових товарів (Угода АСАА), щодо товарів українського виробництва та виробництва (походження) з держав-членів Європейського Союзу.</w:t>
            </w:r>
          </w:p>
          <w:p w:rsidR="002814E8" w:rsidRPr="002814E8" w:rsidRDefault="002814E8" w:rsidP="002814E8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2814E8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Взаємне визнання оцінки відповідності та прийнятності промислових товарів передбачає, щоб інформація на етикетці або маркуванні була зазначена </w:t>
            </w:r>
            <w:r w:rsidR="00382BFA" w:rsidRPr="00382BFA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мовою держав, на ринку яких надається продукція</w:t>
            </w:r>
            <w:r w:rsidR="00382BFA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. </w:t>
            </w:r>
          </w:p>
          <w:p w:rsidR="002814E8" w:rsidRPr="002814E8" w:rsidRDefault="002814E8" w:rsidP="002814E8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2814E8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Не допускається прийняття національних стандартів на основі гармонізованих європейських стандартів, добровільне застосування яких вважається таким, що відповідає вимогам законодавства та у сферах, зазначених в Угоді АСАА іншою мовою, ніж українська.</w:t>
            </w:r>
          </w:p>
          <w:p w:rsidR="009C6C95" w:rsidRPr="009C6C95" w:rsidRDefault="002814E8" w:rsidP="002814E8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2814E8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Угода АСАА не застосовується до промислової продукції третіх країн, якщо інші умови не будуть визначені цією угодою.</w:t>
            </w:r>
          </w:p>
        </w:tc>
      </w:tr>
      <w:tr w:rsidR="004C4EC0" w:rsidRPr="00B666D2" w:rsidTr="00EE40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26" w:type="dxa"/>
        </w:trPr>
        <w:tc>
          <w:tcPr>
            <w:tcW w:w="7621" w:type="dxa"/>
          </w:tcPr>
          <w:p w:rsidR="00EE4091" w:rsidRDefault="00EE4091" w:rsidP="00EE4091">
            <w:pPr>
              <w:spacing w:after="160" w:line="259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4C4EC0" w:rsidRPr="00B666D2" w:rsidRDefault="00EE4091" w:rsidP="003E27F1">
            <w:pPr>
              <w:spacing w:after="160" w:line="259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E40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Народн</w:t>
            </w:r>
            <w:r w:rsidR="00EC683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</w:t>
            </w:r>
            <w:r w:rsidR="003E27F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депутат</w:t>
            </w:r>
            <w:r w:rsidR="00EC683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и</w:t>
            </w:r>
            <w:r w:rsidRPr="00EE40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України</w:t>
            </w:r>
            <w:r w:rsidR="003E27F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                                    </w:t>
            </w:r>
          </w:p>
        </w:tc>
        <w:tc>
          <w:tcPr>
            <w:tcW w:w="7229" w:type="dxa"/>
          </w:tcPr>
          <w:p w:rsidR="004C4EC0" w:rsidRPr="00B666D2" w:rsidRDefault="003E27F1" w:rsidP="00B666D2">
            <w:pPr>
              <w:spacing w:before="360" w:after="0"/>
              <w:jc w:val="both"/>
              <w:textAlignment w:val="baseline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                                                            </w:t>
            </w:r>
            <w:r w:rsidR="00C126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bookmarkStart w:id="0" w:name="_GoBack"/>
            <w:bookmarkEnd w:id="0"/>
          </w:p>
        </w:tc>
      </w:tr>
    </w:tbl>
    <w:p w:rsidR="00C12677" w:rsidRPr="00C12677" w:rsidRDefault="00C12677" w:rsidP="00C12677">
      <w:pPr>
        <w:spacing w:after="0"/>
        <w:ind w:left="709"/>
        <w:jc w:val="right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C12677">
        <w:rPr>
          <w:rFonts w:ascii="Times New Roman" w:hAnsi="Times New Roman"/>
          <w:b/>
          <w:sz w:val="28"/>
          <w:szCs w:val="28"/>
          <w:lang w:val="uk-UA" w:eastAsia="ru-RU"/>
        </w:rPr>
        <w:t>Федієнко О.П. (89)</w:t>
      </w:r>
    </w:p>
    <w:p w:rsidR="00C12677" w:rsidRPr="00C12677" w:rsidRDefault="00C12677" w:rsidP="00C12677">
      <w:pPr>
        <w:spacing w:after="0"/>
        <w:ind w:left="709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C12677">
        <w:rPr>
          <w:rFonts w:ascii="Times New Roman" w:hAnsi="Times New Roman"/>
          <w:b/>
          <w:sz w:val="28"/>
          <w:szCs w:val="28"/>
          <w:lang w:eastAsia="ru-RU"/>
        </w:rPr>
        <w:t>Ватрас В.А. (70)</w:t>
      </w:r>
    </w:p>
    <w:p w:rsidR="00C12677" w:rsidRPr="00C12677" w:rsidRDefault="00C12677" w:rsidP="00C12677">
      <w:pPr>
        <w:tabs>
          <w:tab w:val="right" w:pos="8931"/>
        </w:tabs>
        <w:spacing w:after="0"/>
        <w:jc w:val="right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C12677">
        <w:rPr>
          <w:rFonts w:ascii="Times New Roman" w:hAnsi="Times New Roman"/>
          <w:b/>
          <w:bCs/>
          <w:sz w:val="28"/>
          <w:szCs w:val="28"/>
          <w:lang w:val="uk-UA" w:eastAsia="ru-RU"/>
        </w:rPr>
        <w:t>Крячко М.В. (60)</w:t>
      </w:r>
    </w:p>
    <w:p w:rsidR="00C12677" w:rsidRPr="00C12677" w:rsidRDefault="00C12677" w:rsidP="00C12677">
      <w:pPr>
        <w:tabs>
          <w:tab w:val="right" w:pos="8931"/>
        </w:tabs>
        <w:spacing w:after="0"/>
        <w:jc w:val="right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C12677">
        <w:rPr>
          <w:rFonts w:ascii="Times New Roman" w:hAnsi="Times New Roman"/>
          <w:b/>
          <w:bCs/>
          <w:sz w:val="28"/>
          <w:szCs w:val="28"/>
          <w:lang w:val="uk-UA" w:eastAsia="ru-RU"/>
        </w:rPr>
        <w:t>Соха Р.В. (281)</w:t>
      </w:r>
    </w:p>
    <w:p w:rsidR="001C6BC7" w:rsidRPr="00B666D2" w:rsidRDefault="001C6BC7" w:rsidP="00C12677">
      <w:pPr>
        <w:spacing w:before="360" w:after="0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sectPr w:rsidR="001C6BC7" w:rsidRPr="00B666D2" w:rsidSect="004C4EC0">
      <w:headerReference w:type="default" r:id="rId6"/>
      <w:pgSz w:w="16838" w:h="11906" w:orient="landscape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5509" w:rsidRDefault="00535509" w:rsidP="004C4EC0">
      <w:pPr>
        <w:spacing w:after="0" w:line="240" w:lineRule="auto"/>
      </w:pPr>
      <w:r>
        <w:separator/>
      </w:r>
    </w:p>
  </w:endnote>
  <w:endnote w:type="continuationSeparator" w:id="0">
    <w:p w:rsidR="00535509" w:rsidRDefault="00535509" w:rsidP="004C4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5509" w:rsidRDefault="00535509" w:rsidP="004C4EC0">
      <w:pPr>
        <w:spacing w:after="0" w:line="240" w:lineRule="auto"/>
      </w:pPr>
      <w:r>
        <w:separator/>
      </w:r>
    </w:p>
  </w:footnote>
  <w:footnote w:type="continuationSeparator" w:id="0">
    <w:p w:rsidR="00535509" w:rsidRDefault="00535509" w:rsidP="004C4E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134" w:rsidRDefault="00930134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C12677">
      <w:rPr>
        <w:noProof/>
      </w:rPr>
      <w:t>3</w:t>
    </w:r>
    <w:r>
      <w:fldChar w:fldCharType="end"/>
    </w:r>
  </w:p>
  <w:p w:rsidR="00930134" w:rsidRDefault="00930134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834"/>
    <w:rsid w:val="00012037"/>
    <w:rsid w:val="00016DC0"/>
    <w:rsid w:val="00027732"/>
    <w:rsid w:val="00032639"/>
    <w:rsid w:val="000B37DB"/>
    <w:rsid w:val="000C08B6"/>
    <w:rsid w:val="000D381C"/>
    <w:rsid w:val="000E3393"/>
    <w:rsid w:val="0012628A"/>
    <w:rsid w:val="00161E5D"/>
    <w:rsid w:val="00165E74"/>
    <w:rsid w:val="001A3E38"/>
    <w:rsid w:val="001B0A61"/>
    <w:rsid w:val="001C0E48"/>
    <w:rsid w:val="001C1484"/>
    <w:rsid w:val="001C6BC7"/>
    <w:rsid w:val="00212834"/>
    <w:rsid w:val="00221218"/>
    <w:rsid w:val="0023405C"/>
    <w:rsid w:val="0025053E"/>
    <w:rsid w:val="00260AC1"/>
    <w:rsid w:val="00267C70"/>
    <w:rsid w:val="002814E8"/>
    <w:rsid w:val="002C0649"/>
    <w:rsid w:val="002D4AF5"/>
    <w:rsid w:val="002E5CB2"/>
    <w:rsid w:val="002F4D8F"/>
    <w:rsid w:val="003063D7"/>
    <w:rsid w:val="00314750"/>
    <w:rsid w:val="0034341A"/>
    <w:rsid w:val="00346202"/>
    <w:rsid w:val="00353699"/>
    <w:rsid w:val="00362A62"/>
    <w:rsid w:val="00382BFA"/>
    <w:rsid w:val="003E27F1"/>
    <w:rsid w:val="004022C9"/>
    <w:rsid w:val="0040653F"/>
    <w:rsid w:val="0044143F"/>
    <w:rsid w:val="0044620A"/>
    <w:rsid w:val="004C3D22"/>
    <w:rsid w:val="004C4EC0"/>
    <w:rsid w:val="005072C7"/>
    <w:rsid w:val="00515122"/>
    <w:rsid w:val="00526DF0"/>
    <w:rsid w:val="00535509"/>
    <w:rsid w:val="0057761E"/>
    <w:rsid w:val="00593AC8"/>
    <w:rsid w:val="005B0B2F"/>
    <w:rsid w:val="005C2136"/>
    <w:rsid w:val="005C286D"/>
    <w:rsid w:val="006261EA"/>
    <w:rsid w:val="006366CB"/>
    <w:rsid w:val="00640743"/>
    <w:rsid w:val="00643342"/>
    <w:rsid w:val="006A168A"/>
    <w:rsid w:val="006C08B4"/>
    <w:rsid w:val="006C65A5"/>
    <w:rsid w:val="00732483"/>
    <w:rsid w:val="007406B0"/>
    <w:rsid w:val="0076732D"/>
    <w:rsid w:val="007C1870"/>
    <w:rsid w:val="007C2601"/>
    <w:rsid w:val="007F30BA"/>
    <w:rsid w:val="007F46AD"/>
    <w:rsid w:val="008251D8"/>
    <w:rsid w:val="0087756F"/>
    <w:rsid w:val="00893A86"/>
    <w:rsid w:val="008A6FA7"/>
    <w:rsid w:val="008C5B44"/>
    <w:rsid w:val="008D14FD"/>
    <w:rsid w:val="008F136F"/>
    <w:rsid w:val="00901F66"/>
    <w:rsid w:val="00917A87"/>
    <w:rsid w:val="00930134"/>
    <w:rsid w:val="00941648"/>
    <w:rsid w:val="0094185B"/>
    <w:rsid w:val="009C2ACC"/>
    <w:rsid w:val="009C6C95"/>
    <w:rsid w:val="009D11C4"/>
    <w:rsid w:val="009D5073"/>
    <w:rsid w:val="00A32426"/>
    <w:rsid w:val="00AB2941"/>
    <w:rsid w:val="00AB4858"/>
    <w:rsid w:val="00AC4F10"/>
    <w:rsid w:val="00AE20D4"/>
    <w:rsid w:val="00B24D63"/>
    <w:rsid w:val="00B26E5F"/>
    <w:rsid w:val="00B666D2"/>
    <w:rsid w:val="00BA0B30"/>
    <w:rsid w:val="00BC47AC"/>
    <w:rsid w:val="00BD4D05"/>
    <w:rsid w:val="00BF079B"/>
    <w:rsid w:val="00C12677"/>
    <w:rsid w:val="00C310E6"/>
    <w:rsid w:val="00C45966"/>
    <w:rsid w:val="00C76828"/>
    <w:rsid w:val="00C77613"/>
    <w:rsid w:val="00C816A3"/>
    <w:rsid w:val="00CF5548"/>
    <w:rsid w:val="00D20BB0"/>
    <w:rsid w:val="00DC12A9"/>
    <w:rsid w:val="00DC4499"/>
    <w:rsid w:val="00DE76E6"/>
    <w:rsid w:val="00DF4457"/>
    <w:rsid w:val="00E064EF"/>
    <w:rsid w:val="00E15581"/>
    <w:rsid w:val="00E3129D"/>
    <w:rsid w:val="00E535E3"/>
    <w:rsid w:val="00E64190"/>
    <w:rsid w:val="00EA5694"/>
    <w:rsid w:val="00EB6A77"/>
    <w:rsid w:val="00EC683E"/>
    <w:rsid w:val="00ED264D"/>
    <w:rsid w:val="00EE4091"/>
    <w:rsid w:val="00F0301C"/>
    <w:rsid w:val="00F07538"/>
    <w:rsid w:val="00F2752D"/>
    <w:rsid w:val="00F41A94"/>
    <w:rsid w:val="00F638FB"/>
    <w:rsid w:val="00F71749"/>
    <w:rsid w:val="00F95092"/>
    <w:rsid w:val="00FC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A1FA298-5165-4F95-AA21-CBE4AD345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694"/>
    <w:pPr>
      <w:spacing w:after="200" w:line="276" w:lineRule="auto"/>
    </w:pPr>
    <w:rPr>
      <w:rFonts w:cs="Times New Roman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 документа"/>
    <w:basedOn w:val="a"/>
    <w:next w:val="a"/>
    <w:uiPriority w:val="99"/>
    <w:rsid w:val="009D5073"/>
    <w:pPr>
      <w:keepNext/>
      <w:keepLines/>
      <w:spacing w:before="360" w:after="360" w:line="240" w:lineRule="auto"/>
      <w:jc w:val="center"/>
    </w:pPr>
    <w:rPr>
      <w:rFonts w:ascii="Antiqua" w:hAnsi="Antiqua"/>
      <w:b/>
      <w:sz w:val="26"/>
      <w:szCs w:val="20"/>
      <w:lang w:val="uk-UA" w:eastAsia="ru-RU"/>
    </w:rPr>
  </w:style>
  <w:style w:type="table" w:styleId="a4">
    <w:name w:val="Table Grid"/>
    <w:basedOn w:val="a1"/>
    <w:uiPriority w:val="99"/>
    <w:rsid w:val="00AC4F10"/>
    <w:pPr>
      <w:spacing w:after="0" w:line="240" w:lineRule="auto"/>
    </w:pPr>
    <w:rPr>
      <w:rFonts w:cs="Times New Roman"/>
      <w:lang w:val="ru-RU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rvps2">
    <w:name w:val="rvps2"/>
    <w:basedOn w:val="a"/>
    <w:uiPriority w:val="99"/>
    <w:rsid w:val="000C08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rvts9">
    <w:name w:val="rvts9"/>
    <w:basedOn w:val="a0"/>
    <w:uiPriority w:val="99"/>
    <w:rsid w:val="000C08B6"/>
    <w:rPr>
      <w:rFonts w:cs="Times New Roman"/>
    </w:rPr>
  </w:style>
  <w:style w:type="paragraph" w:customStyle="1" w:styleId="a5">
    <w:name w:val="Нормальний текст"/>
    <w:basedOn w:val="a"/>
    <w:uiPriority w:val="99"/>
    <w:rsid w:val="000C08B6"/>
    <w:pPr>
      <w:spacing w:before="120" w:after="0" w:line="240" w:lineRule="auto"/>
      <w:ind w:firstLine="567"/>
      <w:jc w:val="both"/>
    </w:pPr>
    <w:rPr>
      <w:rFonts w:ascii="Antiqua" w:hAnsi="Antiqua"/>
      <w:sz w:val="26"/>
      <w:szCs w:val="20"/>
      <w:lang w:val="uk-UA" w:eastAsia="ru-RU"/>
    </w:rPr>
  </w:style>
  <w:style w:type="character" w:styleId="a6">
    <w:name w:val="Hyperlink"/>
    <w:basedOn w:val="a0"/>
    <w:uiPriority w:val="99"/>
    <w:semiHidden/>
    <w:rsid w:val="00DC4499"/>
    <w:rPr>
      <w:rFonts w:cs="Times New Roman"/>
      <w:color w:val="0000FF"/>
      <w:u w:val="single"/>
    </w:rPr>
  </w:style>
  <w:style w:type="paragraph" w:customStyle="1" w:styleId="a7">
    <w:name w:val="Вид документа"/>
    <w:basedOn w:val="a"/>
    <w:next w:val="a"/>
    <w:uiPriority w:val="99"/>
    <w:rsid w:val="00DC4499"/>
    <w:pPr>
      <w:keepNext/>
      <w:keepLines/>
      <w:spacing w:after="240" w:line="240" w:lineRule="auto"/>
      <w:jc w:val="right"/>
    </w:pPr>
    <w:rPr>
      <w:rFonts w:ascii="Antiqua" w:hAnsi="Antiqua"/>
      <w:spacing w:val="20"/>
      <w:sz w:val="26"/>
      <w:szCs w:val="20"/>
      <w:lang w:val="uk-UA" w:eastAsia="ru-RU"/>
    </w:rPr>
  </w:style>
  <w:style w:type="character" w:customStyle="1" w:styleId="rvts37">
    <w:name w:val="rvts37"/>
    <w:basedOn w:val="a0"/>
    <w:uiPriority w:val="99"/>
    <w:rsid w:val="00346202"/>
    <w:rPr>
      <w:rFonts w:cs="Times New Roman"/>
    </w:rPr>
  </w:style>
  <w:style w:type="character" w:customStyle="1" w:styleId="rvts46">
    <w:name w:val="rvts46"/>
    <w:basedOn w:val="a0"/>
    <w:uiPriority w:val="99"/>
    <w:rsid w:val="006C65A5"/>
    <w:rPr>
      <w:rFonts w:cs="Times New Roman"/>
    </w:rPr>
  </w:style>
  <w:style w:type="paragraph" w:customStyle="1" w:styleId="rvps7">
    <w:name w:val="rvps7"/>
    <w:basedOn w:val="a"/>
    <w:uiPriority w:val="99"/>
    <w:rsid w:val="00F41A9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t">
    <w:name w:val="st"/>
    <w:uiPriority w:val="99"/>
    <w:rsid w:val="00F41A94"/>
  </w:style>
  <w:style w:type="character" w:styleId="a8">
    <w:name w:val="Emphasis"/>
    <w:basedOn w:val="a0"/>
    <w:uiPriority w:val="99"/>
    <w:qFormat/>
    <w:rsid w:val="00F41A94"/>
    <w:rPr>
      <w:rFonts w:cs="Times New Roman"/>
      <w:i/>
    </w:rPr>
  </w:style>
  <w:style w:type="character" w:styleId="a9">
    <w:name w:val="FollowedHyperlink"/>
    <w:basedOn w:val="a0"/>
    <w:uiPriority w:val="99"/>
    <w:semiHidden/>
    <w:rsid w:val="00F41A94"/>
    <w:rPr>
      <w:rFonts w:cs="Times New Roman"/>
      <w:color w:val="800080"/>
      <w:u w:val="single"/>
    </w:rPr>
  </w:style>
  <w:style w:type="paragraph" w:styleId="aa">
    <w:name w:val="header"/>
    <w:basedOn w:val="a"/>
    <w:link w:val="ab"/>
    <w:uiPriority w:val="99"/>
    <w:rsid w:val="004C4EC0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link w:val="ad"/>
    <w:uiPriority w:val="99"/>
    <w:rsid w:val="004C4E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locked/>
    <w:rsid w:val="004C4EC0"/>
    <w:rPr>
      <w:rFonts w:cs="Times New Roman"/>
    </w:rPr>
  </w:style>
  <w:style w:type="character" w:customStyle="1" w:styleId="ad">
    <w:name w:val="Нижній колонтитул Знак"/>
    <w:basedOn w:val="a0"/>
    <w:link w:val="ac"/>
    <w:uiPriority w:val="99"/>
    <w:locked/>
    <w:rsid w:val="004C4EC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9570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0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0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0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0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0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0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0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0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0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0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0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0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0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0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3318</Words>
  <Characters>1892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Федієнко Олександр Павлович</cp:lastModifiedBy>
  <cp:revision>7</cp:revision>
  <dcterms:created xsi:type="dcterms:W3CDTF">2020-08-03T08:25:00Z</dcterms:created>
  <dcterms:modified xsi:type="dcterms:W3CDTF">2020-08-03T14:01:00Z</dcterms:modified>
</cp:coreProperties>
</file>