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840DC" w:rsidRPr="00F76114" w:rsidP="003840DC">
      <w:pPr>
        <w:bidi w:val="0"/>
        <w:jc w:val="center"/>
        <w:rPr>
          <w:rFonts w:hint="default"/>
          <w:b/>
          <w:szCs w:val="28"/>
          <w:lang w:val="uk-UA"/>
        </w:rPr>
      </w:pPr>
      <w:r w:rsidRPr="00F76114">
        <w:rPr>
          <w:rFonts w:hint="default"/>
          <w:b/>
          <w:szCs w:val="28"/>
          <w:lang w:val="uk-UA"/>
        </w:rPr>
        <w:t>ПОРІВНЯЛЬНА</w:t>
      </w:r>
      <w:r w:rsidRPr="00F76114">
        <w:rPr>
          <w:rFonts w:hint="default"/>
          <w:b/>
          <w:szCs w:val="28"/>
          <w:lang w:val="uk-UA"/>
        </w:rPr>
        <w:t xml:space="preserve"> ТАБЛИЦЯ</w:t>
      </w:r>
      <w:r w:rsidRPr="00F76114">
        <w:rPr>
          <w:rFonts w:hint="default"/>
          <w:b/>
          <w:szCs w:val="28"/>
          <w:lang w:val="uk-UA"/>
        </w:rPr>
        <w:t xml:space="preserve"> </w:t>
      </w:r>
    </w:p>
    <w:p w:rsidR="003840DC" w:rsidRPr="00F76114" w:rsidP="003840DC">
      <w:pPr>
        <w:bidi w:val="0"/>
        <w:jc w:val="center"/>
        <w:rPr>
          <w:b/>
          <w:szCs w:val="28"/>
          <w:lang w:val="uk-UA"/>
        </w:rPr>
      </w:pPr>
      <w:r w:rsidRPr="00F76114">
        <w:rPr>
          <w:rFonts w:hint="default"/>
          <w:b/>
          <w:szCs w:val="28"/>
          <w:lang w:val="uk-UA"/>
        </w:rPr>
        <w:t>до</w:t>
      </w:r>
      <w:r w:rsidRPr="00F76114">
        <w:rPr>
          <w:rFonts w:hint="default"/>
          <w:b/>
          <w:szCs w:val="28"/>
          <w:lang w:val="uk-UA"/>
        </w:rPr>
        <w:t xml:space="preserve"> проекту</w:t>
      </w:r>
      <w:r w:rsidRPr="00F76114">
        <w:rPr>
          <w:rFonts w:hint="default"/>
          <w:b/>
          <w:szCs w:val="28"/>
          <w:lang w:val="uk-UA"/>
        </w:rPr>
        <w:t xml:space="preserve"> Закону</w:t>
      </w:r>
      <w:r w:rsidRPr="00F76114">
        <w:rPr>
          <w:rFonts w:hint="default"/>
          <w:b/>
          <w:szCs w:val="28"/>
          <w:lang w:val="uk-UA"/>
        </w:rPr>
        <w:t xml:space="preserve"> України</w:t>
      </w:r>
      <w:r w:rsidRPr="00F76114">
        <w:rPr>
          <w:rFonts w:hint="default"/>
          <w:b/>
          <w:szCs w:val="28"/>
          <w:lang w:val="uk-UA"/>
        </w:rPr>
        <w:t xml:space="preserve"> "Про</w:t>
      </w:r>
      <w:r w:rsidRPr="00F76114">
        <w:rPr>
          <w:rFonts w:hint="default"/>
          <w:b/>
          <w:szCs w:val="28"/>
          <w:lang w:val="uk-UA"/>
        </w:rPr>
        <w:t xml:space="preserve"> внесення</w:t>
      </w:r>
      <w:r w:rsidRPr="00F76114">
        <w:rPr>
          <w:rFonts w:hint="default"/>
          <w:b/>
          <w:szCs w:val="28"/>
          <w:lang w:val="uk-UA"/>
        </w:rPr>
        <w:t xml:space="preserve"> змін</w:t>
      </w:r>
      <w:r w:rsidRPr="00F76114">
        <w:rPr>
          <w:rFonts w:hint="default"/>
          <w:b/>
          <w:szCs w:val="28"/>
          <w:lang w:val="uk-UA"/>
        </w:rPr>
        <w:t xml:space="preserve"> до</w:t>
      </w:r>
      <w:r w:rsidRPr="00F76114">
        <w:rPr>
          <w:rFonts w:hint="default"/>
          <w:b/>
          <w:szCs w:val="28"/>
          <w:lang w:val="uk-UA"/>
        </w:rPr>
        <w:t xml:space="preserve"> </w:t>
      </w:r>
      <w:r w:rsidRPr="00F76114" w:rsidR="000A3277">
        <w:rPr>
          <w:rFonts w:hint="default"/>
          <w:b/>
          <w:szCs w:val="28"/>
          <w:lang w:val="uk-UA"/>
        </w:rPr>
        <w:t>деяких</w:t>
      </w:r>
      <w:r w:rsidRPr="00F76114" w:rsidR="000A3277">
        <w:rPr>
          <w:rFonts w:hint="default"/>
          <w:b/>
          <w:szCs w:val="28"/>
          <w:lang w:val="uk-UA"/>
        </w:rPr>
        <w:t xml:space="preserve"> законів</w:t>
      </w:r>
      <w:r w:rsidRPr="00F76114" w:rsidR="000A3277">
        <w:rPr>
          <w:rFonts w:hint="default"/>
          <w:b/>
          <w:szCs w:val="28"/>
          <w:lang w:val="uk-UA"/>
        </w:rPr>
        <w:t xml:space="preserve"> України</w:t>
      </w:r>
      <w:r w:rsidRPr="00F76114">
        <w:rPr>
          <w:b/>
          <w:szCs w:val="28"/>
          <w:lang w:val="uk-UA"/>
        </w:rPr>
        <w:t xml:space="preserve"> </w:t>
      </w:r>
    </w:p>
    <w:p w:rsidR="003840DC" w:rsidRPr="00F76114" w:rsidP="003840DC">
      <w:pPr>
        <w:bidi w:val="0"/>
        <w:jc w:val="center"/>
        <w:rPr>
          <w:rFonts w:hint="default"/>
          <w:b/>
          <w:szCs w:val="28"/>
          <w:lang w:val="uk-UA"/>
        </w:rPr>
      </w:pPr>
      <w:r w:rsidRPr="00F76114">
        <w:rPr>
          <w:rFonts w:hint="default"/>
          <w:b/>
          <w:szCs w:val="28"/>
          <w:lang w:val="uk-UA"/>
        </w:rPr>
        <w:t>щодо</w:t>
      </w:r>
      <w:r w:rsidRPr="00F76114">
        <w:rPr>
          <w:rFonts w:hint="default"/>
          <w:b/>
          <w:szCs w:val="28"/>
          <w:lang w:val="uk-UA"/>
        </w:rPr>
        <w:t xml:space="preserve"> права</w:t>
      </w:r>
      <w:r w:rsidRPr="00F76114">
        <w:rPr>
          <w:rFonts w:hint="default"/>
          <w:b/>
          <w:szCs w:val="28"/>
          <w:lang w:val="uk-UA"/>
        </w:rPr>
        <w:t xml:space="preserve"> законодавчої</w:t>
      </w:r>
      <w:r w:rsidRPr="00F76114">
        <w:rPr>
          <w:rFonts w:hint="default"/>
          <w:b/>
          <w:szCs w:val="28"/>
          <w:lang w:val="uk-UA"/>
        </w:rPr>
        <w:t xml:space="preserve"> ініціативи</w:t>
      </w:r>
      <w:r w:rsidRPr="00F76114">
        <w:rPr>
          <w:rFonts w:hint="default"/>
          <w:b/>
          <w:szCs w:val="28"/>
          <w:lang w:val="uk-UA"/>
        </w:rPr>
        <w:t xml:space="preserve"> народних</w:t>
      </w:r>
      <w:r w:rsidRPr="00F76114">
        <w:rPr>
          <w:rFonts w:hint="default"/>
          <w:b/>
          <w:szCs w:val="28"/>
          <w:lang w:val="uk-UA"/>
        </w:rPr>
        <w:t xml:space="preserve"> депутатів</w:t>
      </w:r>
      <w:r w:rsidRPr="00F76114">
        <w:rPr>
          <w:rFonts w:hint="default"/>
          <w:b/>
          <w:szCs w:val="28"/>
          <w:lang w:val="uk-UA"/>
        </w:rPr>
        <w:t xml:space="preserve"> України»</w:t>
      </w:r>
    </w:p>
    <w:p w:rsidR="003840DC" w:rsidRPr="00F76114" w:rsidP="003840DC">
      <w:pPr>
        <w:bidi w:val="0"/>
        <w:jc w:val="center"/>
        <w:rPr>
          <w:rFonts w:hint="default"/>
          <w:b/>
          <w:szCs w:val="28"/>
          <w:lang w:val="uk-UA"/>
        </w:rPr>
      </w:pPr>
    </w:p>
    <w:tbl>
      <w:tblPr>
        <w:tblStyle w:val="TableNormal"/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3"/>
        <w:gridCol w:w="7655"/>
      </w:tblGrid>
      <w:tr>
        <w:tblPrEx>
          <w:tblW w:w="1541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E3526" w:rsidP="003840DC">
            <w:pPr>
              <w:bidi w:val="0"/>
              <w:ind w:firstLine="709"/>
              <w:jc w:val="center"/>
              <w:rPr>
                <w:b/>
                <w:bCs/>
                <w:szCs w:val="28"/>
                <w:lang w:val="uk-UA"/>
              </w:rPr>
            </w:pPr>
            <w:r w:rsidRPr="00F76114">
              <w:rPr>
                <w:rFonts w:hint="default"/>
                <w:b/>
                <w:bCs/>
                <w:szCs w:val="28"/>
                <w:lang w:val="uk-UA"/>
              </w:rPr>
              <w:t>Зміст</w:t>
            </w:r>
            <w:r w:rsidRPr="00F76114">
              <w:rPr>
                <w:rFonts w:hint="default"/>
                <w:b/>
                <w:bCs/>
                <w:szCs w:val="28"/>
                <w:lang w:val="uk-UA"/>
              </w:rPr>
              <w:t xml:space="preserve"> положення</w:t>
            </w:r>
            <w:r w:rsidRPr="00F76114">
              <w:rPr>
                <w:rFonts w:hint="default"/>
                <w:b/>
                <w:bCs/>
                <w:szCs w:val="28"/>
                <w:lang w:val="uk-UA"/>
              </w:rPr>
              <w:t xml:space="preserve"> (норми</w:t>
            </w:r>
            <w:r w:rsidRPr="00F76114">
              <w:rPr>
                <w:rFonts w:hint="default"/>
                <w:b/>
                <w:bCs/>
                <w:szCs w:val="28"/>
                <w:lang w:val="uk-UA"/>
              </w:rPr>
              <w:t>) чинного</w:t>
            </w:r>
            <w:r w:rsidRPr="00F76114">
              <w:rPr>
                <w:rFonts w:hint="default"/>
                <w:b/>
                <w:bCs/>
                <w:szCs w:val="28"/>
                <w:lang w:val="uk-UA"/>
              </w:rPr>
              <w:t xml:space="preserve"> законодавства</w:t>
            </w:r>
          </w:p>
          <w:p w:rsidR="008E3526" w:rsidRPr="00F76114" w:rsidP="003840DC">
            <w:pPr>
              <w:bidi w:val="0"/>
              <w:ind w:firstLine="709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E3526" w:rsidRPr="00F76114" w:rsidP="00455609">
            <w:pPr>
              <w:bidi w:val="0"/>
              <w:ind w:firstLine="709"/>
              <w:jc w:val="center"/>
              <w:rPr>
                <w:rFonts w:hint="default"/>
                <w:b/>
                <w:szCs w:val="28"/>
                <w:lang w:val="uk-UA"/>
              </w:rPr>
            </w:pPr>
            <w:r w:rsidRPr="00F76114">
              <w:rPr>
                <w:rFonts w:hint="default"/>
                <w:b/>
                <w:szCs w:val="28"/>
                <w:lang w:val="uk-UA"/>
              </w:rPr>
              <w:t>Редакція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з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урахуванням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запропонованих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змін</w:t>
            </w:r>
          </w:p>
        </w:tc>
      </w:tr>
      <w:tr>
        <w:tblPrEx>
          <w:tblW w:w="15418" w:type="dxa"/>
          <w:tblLook w:val="01E0"/>
        </w:tblPrEx>
        <w:tc>
          <w:tcPr>
            <w:tcW w:w="15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E3526" w:rsidP="00455609">
            <w:pPr>
              <w:bidi w:val="0"/>
              <w:ind w:firstLine="709"/>
              <w:jc w:val="center"/>
              <w:rPr>
                <w:b/>
                <w:szCs w:val="28"/>
                <w:lang w:val="uk-UA"/>
              </w:rPr>
            </w:pPr>
          </w:p>
          <w:p w:rsidR="008E3526" w:rsidP="00455609">
            <w:pPr>
              <w:bidi w:val="0"/>
              <w:ind w:firstLine="709"/>
              <w:jc w:val="center"/>
              <w:rPr>
                <w:b/>
                <w:szCs w:val="28"/>
                <w:lang w:val="uk-UA"/>
              </w:rPr>
            </w:pPr>
            <w:r w:rsidRPr="00F76114">
              <w:rPr>
                <w:rFonts w:hint="default"/>
                <w:b/>
                <w:szCs w:val="28"/>
                <w:lang w:val="uk-UA"/>
              </w:rPr>
              <w:t>Закон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У</w:t>
            </w:r>
            <w:r w:rsidRPr="00F76114">
              <w:rPr>
                <w:rFonts w:hint="default"/>
                <w:b/>
                <w:szCs w:val="28"/>
                <w:lang w:val="uk-UA"/>
              </w:rPr>
              <w:t>країни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«Про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статус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народного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депутата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України»</w:t>
            </w:r>
          </w:p>
          <w:p w:rsidR="008E3526" w:rsidRPr="00F76114" w:rsidP="00455609">
            <w:pPr>
              <w:bidi w:val="0"/>
              <w:ind w:firstLine="709"/>
              <w:jc w:val="center"/>
              <w:rPr>
                <w:b/>
                <w:szCs w:val="28"/>
                <w:lang w:val="uk-UA"/>
              </w:rPr>
            </w:pPr>
          </w:p>
        </w:tc>
      </w:tr>
      <w:tr>
        <w:tblPrEx>
          <w:tblW w:w="15418" w:type="dxa"/>
          <w:tblLook w:val="01E0"/>
        </w:tblPrEx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E3526" w:rsidRPr="00F76114" w:rsidP="000B08F0">
            <w:pPr>
              <w:pStyle w:val="rvps2"/>
              <w:bidi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rvts9"/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Pr="00F76114">
              <w:rPr>
                <w:rStyle w:val="rvts9"/>
                <w:rFonts w:ascii="Times New Roman" w:hAnsi="Times New Roman"/>
                <w:sz w:val="28"/>
                <w:szCs w:val="28"/>
                <w:lang w:val="uk-UA"/>
              </w:rPr>
              <w:t>Стаття 12.</w:t>
            </w:r>
            <w:r w:rsidRPr="00F761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Право законодавчої ініціативи народного депутата України</w:t>
            </w:r>
          </w:p>
          <w:p w:rsidR="008E3526" w:rsidRPr="008E3526" w:rsidP="008E3526">
            <w:pPr>
              <w:pStyle w:val="rvps2"/>
              <w:bidi w:val="0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</w:pPr>
            <w:bookmarkStart w:id="0" w:name="n112"/>
            <w:bookmarkEnd w:id="0"/>
            <w:r w:rsidRPr="008E3526"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  <w:t>1. Народний депутат має право законодавчої ініціативи, яке реалізується у формі внесення до Верховної Ради України:</w:t>
            </w:r>
          </w:p>
          <w:p w:rsidR="008E3526" w:rsidRPr="008E3526" w:rsidP="008E3526">
            <w:pPr>
              <w:pStyle w:val="rvps2"/>
              <w:bidi w:val="0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</w:pPr>
            <w:bookmarkStart w:id="1" w:name="n113"/>
            <w:bookmarkEnd w:id="1"/>
            <w:r w:rsidRPr="008E3526"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  <w:t>1) законопроекту;</w:t>
            </w:r>
          </w:p>
          <w:p w:rsidR="008E3526" w:rsidRPr="008E3526" w:rsidP="008E3526">
            <w:pPr>
              <w:pStyle w:val="rvps2"/>
              <w:bidi w:val="0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</w:pPr>
            <w:bookmarkStart w:id="2" w:name="n114"/>
            <w:bookmarkEnd w:id="2"/>
            <w:r w:rsidRPr="008E3526"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  <w:t>2) проекту постанови;</w:t>
            </w:r>
          </w:p>
          <w:p w:rsidR="008E3526" w:rsidRPr="008E3526" w:rsidP="008E3526">
            <w:pPr>
              <w:pStyle w:val="rvps2"/>
              <w:bidi w:val="0"/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</w:pPr>
            <w:bookmarkStart w:id="3" w:name="n115"/>
            <w:bookmarkEnd w:id="3"/>
            <w:r w:rsidRPr="008E3526"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  <w:t>3) іншої законодавчої пропозиції.</w:t>
            </w:r>
          </w:p>
          <w:p w:rsidR="008E3526" w:rsidRPr="008E3526" w:rsidP="000B08F0">
            <w:pPr>
              <w:pStyle w:val="rvps2"/>
              <w:bidi w:val="0"/>
              <w:jc w:val="both"/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</w:pPr>
            <w:bookmarkStart w:id="4" w:name="n116"/>
            <w:bookmarkEnd w:id="4"/>
          </w:p>
          <w:p w:rsidR="008E3526" w:rsidRPr="00F76114" w:rsidP="008E3526">
            <w:pPr>
              <w:pStyle w:val="rvps2"/>
              <w:bidi w:val="0"/>
              <w:jc w:val="both"/>
              <w:rPr>
                <w:rFonts w:ascii="Times New Roman" w:hAnsi="Times New Roman"/>
                <w:b/>
                <w:bCs/>
                <w:szCs w:val="28"/>
                <w:lang w:val="uk-UA"/>
              </w:rPr>
            </w:pPr>
            <w:r w:rsidRPr="008E3526"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  <w:t xml:space="preserve">2. Порядок внесення законопроекту, проекту постанови чи іншої законодавчої пропозиції на розгляд Верховної Ради України та порядок їх розгляду визначаються </w:t>
            </w:r>
            <w:hyperlink r:id="rId4" w:tgtFrame="_blank" w:history="1">
              <w:r w:rsidRPr="008E3526">
                <w:rPr>
                  <w:rStyle w:val="Hyperlink"/>
                  <w:rFonts w:ascii="Times New Roman" w:hAnsi="Times New Roman"/>
                  <w:bCs/>
                  <w:strike/>
                  <w:color w:val="auto"/>
                  <w:sz w:val="28"/>
                  <w:szCs w:val="28"/>
                  <w:u w:val="none"/>
                  <w:lang w:val="uk-UA"/>
                </w:rPr>
                <w:t>законом про регламент Верховної Ради України</w:t>
              </w:r>
            </w:hyperlink>
            <w:r w:rsidRPr="008E3526">
              <w:rPr>
                <w:rFonts w:ascii="Times New Roman" w:hAnsi="Times New Roman"/>
                <w:bCs/>
                <w:strike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E3526" w:rsidRPr="008E3526" w:rsidP="008E3526">
            <w:pPr>
              <w:pStyle w:val="rvps2"/>
              <w:bidi w:val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Style w:val="rvts9"/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Pr="008E3526">
              <w:rPr>
                <w:rStyle w:val="rvts9"/>
                <w:rFonts w:ascii="Times New Roman" w:hAnsi="Times New Roman"/>
                <w:b/>
                <w:sz w:val="28"/>
                <w:szCs w:val="28"/>
                <w:lang w:val="uk-UA"/>
              </w:rPr>
              <w:t>Стаття 12.</w:t>
            </w:r>
            <w:r w:rsidRPr="008E35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Право законодавчої ініціативи народних депутатів України</w:t>
            </w:r>
          </w:p>
          <w:p w:rsidR="008E3526" w:rsidRPr="008E3526" w:rsidP="008E3526">
            <w:pPr>
              <w:pStyle w:val="rvps2"/>
              <w:bidi w:val="0"/>
              <w:spacing w:before="0" w:beforeAutospacing="0" w:after="0" w:afterAutospacing="0"/>
              <w:ind w:firstLine="206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35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 Народні депутати мають право законодавчої ініціативи, яке реалізується ними у порядку, визначеному Регламентом Верховної Ради України, у формі внесення до Верховної Ради України:</w:t>
            </w:r>
          </w:p>
          <w:p w:rsidR="008E3526" w:rsidRPr="008E3526" w:rsidP="008E3526">
            <w:pPr>
              <w:pStyle w:val="rvps2"/>
              <w:bidi w:val="0"/>
              <w:spacing w:before="0" w:beforeAutospacing="0" w:after="0" w:afterAutospacing="0"/>
              <w:ind w:firstLine="206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35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1) проектів законів, постанов;</w:t>
            </w:r>
          </w:p>
          <w:p w:rsidR="008E3526" w:rsidRPr="008E3526" w:rsidP="008E3526">
            <w:pPr>
              <w:pStyle w:val="rvps2"/>
              <w:bidi w:val="0"/>
              <w:spacing w:before="0" w:beforeAutospacing="0" w:after="0" w:afterAutospacing="0"/>
              <w:ind w:firstLine="206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5" w:name="n730"/>
            <w:bookmarkStart w:id="6" w:name="n731"/>
            <w:bookmarkEnd w:id="5"/>
            <w:bookmarkEnd w:id="6"/>
            <w:r w:rsidRPr="008E35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2) проектів інших актів Верховної Ради України;</w:t>
            </w:r>
          </w:p>
          <w:p w:rsidR="008E3526" w:rsidRPr="008E3526" w:rsidP="008E3526">
            <w:pPr>
              <w:pStyle w:val="rvps2"/>
              <w:bidi w:val="0"/>
              <w:spacing w:before="0" w:beforeAutospacing="0" w:after="0" w:afterAutospacing="0"/>
              <w:ind w:firstLine="20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7" w:name="n732"/>
            <w:bookmarkEnd w:id="7"/>
            <w:r w:rsidRPr="008E35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3) пропозицій до законопроектів;</w:t>
            </w:r>
          </w:p>
          <w:p w:rsidR="008E3526" w:rsidRPr="00F76114" w:rsidP="008E3526">
            <w:pPr>
              <w:pStyle w:val="rvps2"/>
              <w:bidi w:val="0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bookmarkStart w:id="8" w:name="n733"/>
            <w:bookmarkEnd w:id="8"/>
            <w:r w:rsidRPr="008E3526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8E35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4) поправок до законопроектів</w:t>
            </w:r>
          </w:p>
        </w:tc>
      </w:tr>
      <w:tr>
        <w:tblPrEx>
          <w:tblW w:w="15418" w:type="dxa"/>
          <w:tblLook w:val="01E0"/>
        </w:tblPrEx>
        <w:tc>
          <w:tcPr>
            <w:tcW w:w="15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E3526" w:rsidP="00455609">
            <w:pPr>
              <w:bidi w:val="0"/>
              <w:ind w:firstLine="709"/>
              <w:jc w:val="center"/>
              <w:rPr>
                <w:b/>
                <w:szCs w:val="28"/>
                <w:lang w:val="uk-UA"/>
              </w:rPr>
            </w:pPr>
          </w:p>
          <w:p w:rsidR="008E3526" w:rsidP="00455609">
            <w:pPr>
              <w:bidi w:val="0"/>
              <w:ind w:firstLine="709"/>
              <w:jc w:val="center"/>
              <w:rPr>
                <w:b/>
                <w:szCs w:val="28"/>
                <w:lang w:val="uk-UA"/>
              </w:rPr>
            </w:pPr>
            <w:r w:rsidRPr="00F76114">
              <w:rPr>
                <w:rFonts w:hint="default"/>
                <w:b/>
                <w:szCs w:val="28"/>
                <w:lang w:val="uk-UA"/>
              </w:rPr>
              <w:t>Регламент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Верховної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Ради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У</w:t>
            </w:r>
            <w:r w:rsidRPr="00F76114">
              <w:rPr>
                <w:rFonts w:hint="default"/>
                <w:b/>
                <w:szCs w:val="28"/>
                <w:lang w:val="uk-UA"/>
              </w:rPr>
              <w:t>країни</w:t>
            </w:r>
            <w:r w:rsidRPr="00F76114">
              <w:rPr>
                <w:rFonts w:hint="default"/>
                <w:b/>
                <w:szCs w:val="28"/>
                <w:lang w:val="uk-UA"/>
              </w:rPr>
              <w:t xml:space="preserve"> </w:t>
            </w:r>
          </w:p>
          <w:p w:rsidR="008E3526" w:rsidRPr="00F76114" w:rsidP="00455609">
            <w:pPr>
              <w:bidi w:val="0"/>
              <w:ind w:firstLine="709"/>
              <w:jc w:val="center"/>
              <w:rPr>
                <w:b/>
                <w:szCs w:val="28"/>
                <w:lang w:val="uk-UA"/>
              </w:rPr>
            </w:pPr>
          </w:p>
        </w:tc>
      </w:tr>
      <w:tr>
        <w:tblPrEx>
          <w:tblW w:w="15418" w:type="dxa"/>
          <w:tblLook w:val="01E0"/>
        </w:tblPrEx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E3526" w:rsidRPr="00F76114" w:rsidP="008E3526">
            <w:pPr>
              <w:pStyle w:val="rvps2"/>
              <w:bidi w:val="0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6114">
              <w:rPr>
                <w:rStyle w:val="rvts9"/>
                <w:rFonts w:ascii="Times New Roman" w:hAnsi="Times New Roman"/>
                <w:sz w:val="28"/>
                <w:szCs w:val="28"/>
                <w:lang w:val="uk-UA"/>
              </w:rPr>
              <w:t>Стаття 89.</w:t>
            </w:r>
            <w:r w:rsidRPr="00F761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Право законодавчої ініціативи</w:t>
            </w:r>
          </w:p>
          <w:p w:rsidR="008E3526" w:rsidRPr="00F76114" w:rsidP="008E3526">
            <w:pPr>
              <w:pStyle w:val="rvps2"/>
              <w:bidi w:val="0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9" w:name="n723"/>
            <w:bookmarkEnd w:id="9"/>
            <w:r w:rsidRPr="00F76114">
              <w:rPr>
                <w:rFonts w:ascii="Times New Roman" w:hAnsi="Times New Roman"/>
                <w:sz w:val="28"/>
                <w:szCs w:val="28"/>
                <w:lang w:val="uk-UA"/>
              </w:rPr>
              <w:t>1. Право законодавчої ініціативи у Верховній Раді належить Президенту України, народним депутатам, Кабінету Міністрів України і Національному банку України.</w:t>
            </w:r>
          </w:p>
          <w:p w:rsidR="008E3526" w:rsidRPr="00F76114" w:rsidP="00455609">
            <w:pPr>
              <w:bidi w:val="0"/>
              <w:ind w:firstLine="709"/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8E3526" w:rsidRPr="008E3526" w:rsidP="008E3526">
            <w:pPr>
              <w:pStyle w:val="rvps2"/>
              <w:bidi w:val="0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3526">
              <w:rPr>
                <w:rStyle w:val="rvts9"/>
                <w:rFonts w:ascii="Times New Roman" w:hAnsi="Times New Roman"/>
                <w:b/>
                <w:sz w:val="28"/>
                <w:szCs w:val="28"/>
                <w:lang w:val="uk-UA"/>
              </w:rPr>
              <w:t>Стаття 89.</w:t>
            </w:r>
            <w:r w:rsidRPr="008E35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Право законодавчої ініціативи</w:t>
            </w:r>
          </w:p>
          <w:p w:rsidR="008E3526" w:rsidRPr="00F76114" w:rsidP="004D2EC0">
            <w:pPr>
              <w:pStyle w:val="rvps2"/>
              <w:bidi w:val="0"/>
              <w:spacing w:before="0" w:beforeAutospacing="0" w:after="0" w:afterAutospacing="0"/>
              <w:ind w:firstLine="600"/>
              <w:jc w:val="both"/>
              <w:rPr>
                <w:rFonts w:ascii="Times New Roman" w:hAnsi="Times New Roman"/>
                <w:bCs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 </w:t>
            </w:r>
            <w:r w:rsidRPr="008E35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Право законодавчої ініціативи у Верховній Раді належить Президенту України, Кабінету Міністрів України, народним депутатам у кількості, що складає не менше чисельності найменшої зареєстрованої на першій сесії Верховної Ради відповідно до цього Регламенту депутатської фракції (депутатської групи), а також народним депутатам – членам головного комітету, тимчасової спеціальної комісії, тимчасової слідчої комісії, спеціальної тимчасової слідчої комісії більшістю від затвердженого персонального складу відповідно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</w:tr>
    </w:tbl>
    <w:p w:rsidR="00A33DF7" w:rsidRPr="00F76114" w:rsidP="00A33DF7">
      <w:pPr>
        <w:bidi w:val="0"/>
        <w:rPr>
          <w:vanish/>
          <w:lang w:val="uk-UA"/>
        </w:rPr>
      </w:pPr>
    </w:p>
    <w:p w:rsidR="000A3277" w:rsidRPr="00F76114" w:rsidP="00455609">
      <w:pPr>
        <w:bidi w:val="0"/>
        <w:jc w:val="both"/>
        <w:rPr>
          <w:b/>
          <w:lang w:val="uk-UA"/>
        </w:rPr>
      </w:pPr>
    </w:p>
    <w:p w:rsidR="00455609" w:rsidRPr="00F76114" w:rsidP="00455609">
      <w:pPr>
        <w:bidi w:val="0"/>
        <w:jc w:val="both"/>
        <w:rPr>
          <w:b/>
          <w:lang w:val="uk-UA"/>
        </w:rPr>
      </w:pPr>
    </w:p>
    <w:p w:rsidR="00686818" w:rsidP="00686818">
      <w:pPr>
        <w:bidi w:val="0"/>
        <w:jc w:val="both"/>
        <w:rPr>
          <w:rFonts w:hint="default"/>
          <w:b/>
        </w:rPr>
      </w:pPr>
      <w:r w:rsidRPr="00F76114">
        <w:rPr>
          <w:rFonts w:hint="default"/>
          <w:b/>
          <w:lang w:val="uk-UA"/>
        </w:rPr>
        <w:t>Народні</w:t>
      </w:r>
      <w:r w:rsidRPr="00F76114">
        <w:rPr>
          <w:rFonts w:hint="default"/>
          <w:b/>
          <w:lang w:val="uk-UA"/>
        </w:rPr>
        <w:t xml:space="preserve"> депутати</w:t>
      </w:r>
      <w:r w:rsidRPr="00F76114">
        <w:rPr>
          <w:rFonts w:hint="default"/>
          <w:b/>
          <w:lang w:val="uk-UA"/>
        </w:rPr>
        <w:t xml:space="preserve"> України</w:t>
      </w:r>
      <w:r w:rsidRPr="008E3526">
        <w:rPr>
          <w:b/>
        </w:rPr>
        <w:t xml:space="preserve">                                                 </w:t>
      </w:r>
      <w:r>
        <w:rPr>
          <w:b/>
          <w:lang w:val="uk-UA"/>
        </w:rPr>
        <w:t xml:space="preserve">                                                          </w:t>
      </w:r>
      <w:r w:rsidRPr="008E3526">
        <w:rPr>
          <w:b/>
        </w:rPr>
        <w:t xml:space="preserve">   </w:t>
      </w:r>
      <w:r>
        <w:rPr>
          <w:rFonts w:hint="default"/>
          <w:b/>
        </w:rPr>
        <w:t>Гринчук</w:t>
      </w:r>
      <w:r>
        <w:rPr>
          <w:rFonts w:hint="default"/>
          <w:b/>
        </w:rPr>
        <w:t xml:space="preserve"> О.А.</w:t>
      </w:r>
    </w:p>
    <w:p w:rsidR="00686818" w:rsidP="00686818">
      <w:pPr>
        <w:bidi w:val="0"/>
        <w:jc w:val="both"/>
        <w:rPr>
          <w:rFonts w:hint="default"/>
          <w:b/>
        </w:rPr>
      </w:pPr>
    </w:p>
    <w:p w:rsidR="00686818" w:rsidP="00686818">
      <w:pPr>
        <w:bidi w:val="0"/>
        <w:jc w:val="both"/>
        <w:rPr>
          <w:rFonts w:hint="default"/>
          <w:b/>
        </w:rPr>
      </w:pPr>
    </w:p>
    <w:p w:rsidR="00686818" w:rsidP="00686818">
      <w:pPr>
        <w:bidi w:val="0"/>
        <w:jc w:val="both"/>
        <w:rPr>
          <w:b/>
        </w:rPr>
      </w:pPr>
      <w:r>
        <w:rPr>
          <w:b/>
          <w:lang w:val="uk-UA"/>
        </w:rPr>
        <w:t xml:space="preserve">                                                                                                     </w:t>
      </w:r>
      <w:r>
        <w:rPr>
          <w:b/>
          <w:lang w:val="uk-UA"/>
        </w:rPr>
        <w:t xml:space="preserve">                                                           </w:t>
      </w:r>
      <w:r>
        <w:rPr>
          <w:rFonts w:hint="default"/>
          <w:b/>
        </w:rPr>
        <w:t>Марченко</w:t>
      </w:r>
      <w:r>
        <w:rPr>
          <w:rFonts w:hint="default"/>
          <w:b/>
        </w:rPr>
        <w:t xml:space="preserve"> Л.</w:t>
      </w:r>
      <w:r>
        <w:rPr>
          <w:rFonts w:hint="default"/>
          <w:b/>
          <w:lang w:val="uk-UA"/>
        </w:rPr>
        <w:t>І</w:t>
      </w:r>
      <w:r>
        <w:rPr>
          <w:b/>
        </w:rPr>
        <w:t>.</w:t>
      </w:r>
    </w:p>
    <w:p w:rsidR="00686818" w:rsidP="00686818">
      <w:pPr>
        <w:bidi w:val="0"/>
        <w:jc w:val="both"/>
        <w:rPr>
          <w:b/>
          <w:lang w:val="uk-UA"/>
        </w:rPr>
      </w:pPr>
    </w:p>
    <w:p w:rsidR="008E3526" w:rsidP="00455609">
      <w:pPr>
        <w:bidi w:val="0"/>
        <w:jc w:val="both"/>
        <w:rPr>
          <w:b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8E3526" w:rsidP="00455609">
      <w:pPr>
        <w:bidi w:val="0"/>
        <w:jc w:val="both"/>
        <w:rPr>
          <w:b/>
        </w:rPr>
      </w:pPr>
      <w:r>
        <w:rPr>
          <w:b/>
          <w:lang w:val="uk-UA"/>
        </w:rPr>
        <w:t xml:space="preserve">                      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       </w:t>
      </w:r>
    </w:p>
    <w:p w:rsidR="008E3526" w:rsidRPr="008E3526" w:rsidP="00455609">
      <w:pPr>
        <w:bidi w:val="0"/>
        <w:jc w:val="both"/>
        <w:rPr>
          <w:b/>
        </w:rPr>
      </w:pPr>
    </w:p>
    <w:p w:rsidR="008E3526" w:rsidRPr="008E3526" w:rsidP="00455609">
      <w:pPr>
        <w:bidi w:val="0"/>
        <w:jc w:val="both"/>
        <w:rPr>
          <w:b/>
        </w:rPr>
      </w:pPr>
    </w:p>
    <w:sectPr w:rsidSect="00F76114">
      <w:headerReference w:type="default" r:id="rId5"/>
      <w:pgSz w:w="16838" w:h="11906" w:orient="landscape"/>
      <w:pgMar w:top="851" w:right="851" w:bottom="851" w:left="851" w:header="709" w:footer="709" w:gutter="0"/>
      <w:lnNumType w:distance="0"/>
      <w:cols w:space="708"/>
      <w:noEndnote w:val="0"/>
      <w:titlePg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0000000000000000000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277" w:rsidRPr="001D6A7F" w:rsidP="003840DC">
    <w:pPr>
      <w:pStyle w:val="Header"/>
      <w:bidi w:val="0"/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Pr="00F224F0" w:rsidR="00F224F0">
      <w:rPr>
        <w:noProof/>
        <w:lang w:val="uk-UA"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compat>
    <w:doNotUseIndentAsNumberingTabStop/>
    <w:allowSpaceOfSameStyleInTable/>
    <w:splitPgBreakAndParaMark/>
    <w:useAnsiKerningPairs/>
  </w:compat>
  <w:rsids>
    <w:rsidRoot w:val="003840DC"/>
    <w:rsid w:val="00097176"/>
    <w:rsid w:val="000A3277"/>
    <w:rsid w:val="000B08F0"/>
    <w:rsid w:val="001376A4"/>
    <w:rsid w:val="00160091"/>
    <w:rsid w:val="001D6A7F"/>
    <w:rsid w:val="0026330D"/>
    <w:rsid w:val="00351C90"/>
    <w:rsid w:val="003840DC"/>
    <w:rsid w:val="00455609"/>
    <w:rsid w:val="004D2EC0"/>
    <w:rsid w:val="00686818"/>
    <w:rsid w:val="008E3526"/>
    <w:rsid w:val="00A33DF7"/>
    <w:rsid w:val="00AC0502"/>
    <w:rsid w:val="00AC1E7E"/>
    <w:rsid w:val="00B609A3"/>
    <w:rsid w:val="00B65324"/>
    <w:rsid w:val="00C028D1"/>
    <w:rsid w:val="00C46344"/>
    <w:rsid w:val="00D64929"/>
    <w:rsid w:val="00F224F0"/>
    <w:rsid w:val="00F76114"/>
    <w:rsid w:val="00FB4251"/>
    <w:rsid w:val="00FE7FF9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0DC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Times New Roman" w:eastAsia="Calibri" w:hAnsi="Times New Roman" w:cs="Times New Roman"/>
      <w:sz w:val="28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42">
    <w:name w:val="st42"/>
    <w:rsid w:val="003840DC"/>
    <w:rPr>
      <w:rFonts w:ascii="Times New Roman" w:hAnsi="Times New Roman" w:cs="Times New Roman"/>
      <w:color w:val="000000"/>
    </w:rPr>
  </w:style>
  <w:style w:type="paragraph" w:customStyle="1" w:styleId="st2">
    <w:name w:val="st2"/>
    <w:rsid w:val="003840DC"/>
    <w:pPr>
      <w:framePr w:wrap="auto"/>
      <w:widowControl/>
      <w:autoSpaceDE w:val="0"/>
      <w:autoSpaceDN w:val="0"/>
      <w:adjustRightInd w:val="0"/>
      <w:spacing w:after="150"/>
      <w:ind w:left="0" w:right="0" w:firstLine="450"/>
      <w:jc w:val="both"/>
      <w:textAlignment w:val="auto"/>
    </w:pPr>
    <w:rPr>
      <w:rFonts w:ascii="Courier New" w:hAnsi="Courier New" w:cs="Courier New"/>
      <w:sz w:val="24"/>
      <w:szCs w:val="24"/>
      <w:rtl w:val="0"/>
      <w:cs w:val="0"/>
      <w:lang w:val="ru-RU" w:eastAsia="en-US" w:bidi="ar-SA"/>
    </w:rPr>
  </w:style>
  <w:style w:type="character" w:customStyle="1" w:styleId="st101">
    <w:name w:val="st101"/>
    <w:rsid w:val="003840DC"/>
    <w:rPr>
      <w:rFonts w:ascii="Times New Roman" w:hAnsi="Times New Roman" w:cs="Times New Roman"/>
      <w:b/>
      <w:color w:val="000000"/>
    </w:rPr>
  </w:style>
  <w:style w:type="paragraph" w:styleId="Header">
    <w:name w:val="header"/>
    <w:basedOn w:val="Normal"/>
    <w:link w:val="a"/>
    <w:rsid w:val="003840DC"/>
    <w:pPr>
      <w:tabs>
        <w:tab w:val="center" w:pos="4819"/>
        <w:tab w:val="right" w:pos="9639"/>
      </w:tabs>
      <w:jc w:val="left"/>
    </w:pPr>
  </w:style>
  <w:style w:type="character" w:customStyle="1" w:styleId="a">
    <w:name w:val="Верхній колонтитул Знак"/>
    <w:link w:val="Header"/>
    <w:locked/>
    <w:rsid w:val="003840DC"/>
    <w:rPr>
      <w:rFonts w:eastAsia="Calibri"/>
      <w:sz w:val="24"/>
      <w:lang w:val="ru-RU" w:eastAsia="ru-RU"/>
    </w:rPr>
  </w:style>
  <w:style w:type="paragraph" w:customStyle="1" w:styleId="rvps2">
    <w:name w:val="rvps2"/>
    <w:basedOn w:val="Normal"/>
    <w:rsid w:val="003840D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</w:rPr>
  </w:style>
  <w:style w:type="character" w:customStyle="1" w:styleId="rvts9">
    <w:name w:val="rvts9"/>
    <w:basedOn w:val="DefaultParagraphFont"/>
    <w:rsid w:val="003840DC"/>
    <w:rPr>
      <w:rFonts w:cs="Times New Roman"/>
      <w:rtl w:val="0"/>
      <w:cs w:val="0"/>
    </w:rPr>
  </w:style>
  <w:style w:type="table" w:styleId="TableGrid">
    <w:name w:val="Table Grid"/>
    <w:basedOn w:val="TableNormal"/>
    <w:rsid w:val="000A3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A3277"/>
    <w:rPr>
      <w:color w:val="0000FF"/>
      <w:u w:val="single"/>
    </w:rPr>
  </w:style>
  <w:style w:type="character" w:customStyle="1" w:styleId="rvts46">
    <w:name w:val="rvts46"/>
    <w:rsid w:val="00F76114"/>
  </w:style>
  <w:style w:type="paragraph" w:styleId="Footer">
    <w:name w:val="footer"/>
    <w:basedOn w:val="Normal"/>
    <w:link w:val="a0"/>
    <w:rsid w:val="00F76114"/>
    <w:pPr>
      <w:tabs>
        <w:tab w:val="center" w:pos="4819"/>
        <w:tab w:val="right" w:pos="9639"/>
      </w:tabs>
      <w:jc w:val="left"/>
    </w:pPr>
  </w:style>
  <w:style w:type="character" w:customStyle="1" w:styleId="a0">
    <w:name w:val="Нижній колонтитул Знак"/>
    <w:link w:val="Footer"/>
    <w:locked/>
    <w:rsid w:val="00F76114"/>
    <w:rPr>
      <w:rFonts w:eastAsia="Calibri"/>
      <w:sz w:val="24"/>
      <w:lang w:val="ru-RU" w:eastAsia="ru-RU"/>
    </w:rPr>
  </w:style>
  <w:style w:type="paragraph" w:styleId="BalloonText">
    <w:name w:val="Balloon Text"/>
    <w:basedOn w:val="Normal"/>
    <w:link w:val="a1"/>
    <w:rsid w:val="00F76114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link w:val="BalloonText"/>
    <w:locked/>
    <w:rsid w:val="00F76114"/>
    <w:rPr>
      <w:rFonts w:ascii="Segoe UI" w:eastAsia="Calibri" w:hAnsi="Segoe UI"/>
      <w:sz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rada/show/1861-17" TargetMode="Externa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1717</Words>
  <Characters>980</Characters>
  <Application>Microsoft Office Word</Application>
  <DocSecurity>0</DocSecurity>
  <Lines>0</Lines>
  <Paragraphs>0</Paragraphs>
  <ScaleCrop>false</ScaleCrop>
  <Company>VR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User_UKS</dc:creator>
  <cp:lastModifiedBy>Тетяна Миколаївна Меть</cp:lastModifiedBy>
  <cp:revision>2</cp:revision>
  <cp:lastPrinted>2019-09-06T14:42:00Z</cp:lastPrinted>
  <dcterms:created xsi:type="dcterms:W3CDTF">2019-09-06T15:50:00Z</dcterms:created>
  <dcterms:modified xsi:type="dcterms:W3CDTF">2019-09-06T15:50:00Z</dcterms:modified>
</cp:coreProperties>
</file>