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F1663" w14:textId="77777777" w:rsidR="008968CC" w:rsidRPr="00A14831" w:rsidRDefault="008968CC" w:rsidP="008968CC">
      <w:pPr>
        <w:spacing w:before="150" w:after="150"/>
        <w:ind w:firstLine="0"/>
        <w:jc w:val="center"/>
        <w:rPr>
          <w:rFonts w:eastAsia="Times New Roman" w:cs="Times New Roman"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 xml:space="preserve">ПРОГНОЗ ВПЛИВУ </w:t>
      </w:r>
      <w:r w:rsidRPr="00A14831">
        <w:rPr>
          <w:rFonts w:eastAsia="Times New Roman" w:cs="Times New Roman"/>
          <w:color w:val="000000"/>
          <w:sz w:val="26"/>
          <w:szCs w:val="26"/>
          <w:lang w:eastAsia="uk-UA"/>
        </w:rPr>
        <w:br/>
      </w:r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 xml:space="preserve">реалізації </w:t>
      </w:r>
      <w:proofErr w:type="spellStart"/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>акта</w:t>
      </w:r>
      <w:proofErr w:type="spellEnd"/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 xml:space="preserve"> на ключові інтереси заінтересованих сторін</w:t>
      </w:r>
    </w:p>
    <w:p w14:paraId="5C5A95C0" w14:textId="77777777" w:rsidR="008968CC" w:rsidRPr="00A14831" w:rsidRDefault="008968CC" w:rsidP="008968CC">
      <w:pPr>
        <w:jc w:val="both"/>
        <w:rPr>
          <w:rFonts w:cs="Times New Roman"/>
          <w:b/>
          <w:sz w:val="26"/>
          <w:szCs w:val="26"/>
        </w:rPr>
      </w:pPr>
      <w:bookmarkStart w:id="0" w:name="n1760"/>
      <w:bookmarkEnd w:id="0"/>
      <w:r w:rsidRPr="00A14831">
        <w:rPr>
          <w:rFonts w:cs="Times New Roman"/>
          <w:b/>
          <w:sz w:val="26"/>
          <w:szCs w:val="26"/>
        </w:rPr>
        <w:t>1. Суть проекту</w:t>
      </w:r>
    </w:p>
    <w:p w14:paraId="1A2FD306" w14:textId="1763A031" w:rsidR="00151EA6" w:rsidRPr="005B1B8C" w:rsidRDefault="008968CC" w:rsidP="00151EA6">
      <w:pPr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Проектом </w:t>
      </w:r>
      <w:proofErr w:type="spellStart"/>
      <w:r w:rsidRPr="005B1B8C">
        <w:rPr>
          <w:rFonts w:eastAsia="Times New Roman" w:cs="Times New Roman"/>
          <w:color w:val="000000"/>
          <w:sz w:val="24"/>
          <w:szCs w:val="24"/>
          <w:lang w:eastAsia="uk-UA"/>
        </w:rPr>
        <w:t>акта</w:t>
      </w:r>
      <w:proofErr w:type="spellEnd"/>
      <w:r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E36A88" w:rsidRPr="005B1B8C">
        <w:rPr>
          <w:rFonts w:eastAsia="Times New Roman" w:cs="Times New Roman"/>
          <w:color w:val="000000"/>
          <w:sz w:val="24"/>
          <w:szCs w:val="24"/>
          <w:lang w:eastAsia="uk-UA"/>
        </w:rPr>
        <w:t>спрощується про</w:t>
      </w:r>
      <w:bookmarkStart w:id="1" w:name="_GoBack"/>
      <w:bookmarkEnd w:id="1"/>
      <w:r w:rsidR="00E36A88" w:rsidRPr="005B1B8C">
        <w:rPr>
          <w:rFonts w:eastAsia="Times New Roman" w:cs="Times New Roman"/>
          <w:color w:val="000000"/>
          <w:sz w:val="24"/>
          <w:szCs w:val="24"/>
          <w:lang w:eastAsia="uk-UA"/>
        </w:rPr>
        <w:t>цедура реєстрації статутів територіальних громад</w:t>
      </w:r>
      <w:r w:rsidR="005B1B8C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, зокрема зменшується обсяг документів, що необхідно подавати для реєстрації </w:t>
      </w:r>
      <w:r w:rsidR="005B1B8C" w:rsidRPr="005B1B8C">
        <w:rPr>
          <w:rFonts w:eastAsia="Times New Roman" w:cs="Times New Roman"/>
          <w:sz w:val="24"/>
          <w:szCs w:val="24"/>
          <w:lang w:eastAsia="uk-UA"/>
        </w:rPr>
        <w:t>статутів,</w:t>
      </w:r>
      <w:r w:rsidR="00922B38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E77B49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передбачається </w:t>
      </w:r>
      <w:r w:rsidR="00F756CD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можливість надання </w:t>
      </w:r>
      <w:r w:rsidR="00E77B49">
        <w:rPr>
          <w:rFonts w:eastAsia="Times New Roman" w:cs="Times New Roman"/>
          <w:color w:val="000000"/>
          <w:sz w:val="24"/>
          <w:szCs w:val="24"/>
          <w:lang w:eastAsia="uk-UA"/>
        </w:rPr>
        <w:t xml:space="preserve">територіальними </w:t>
      </w:r>
      <w:r w:rsidR="00F756CD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органами </w:t>
      </w:r>
      <w:r w:rsidR="00E77B49">
        <w:rPr>
          <w:rFonts w:eastAsia="Times New Roman" w:cs="Times New Roman"/>
          <w:color w:val="000000"/>
          <w:sz w:val="24"/>
          <w:szCs w:val="24"/>
          <w:lang w:eastAsia="uk-UA"/>
        </w:rPr>
        <w:t>Мін</w:t>
      </w:r>
      <w:r w:rsidR="00E77B49">
        <w:rPr>
          <w:rFonts w:eastAsia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 w:rsidR="00E77B49">
        <w:rPr>
          <w:rFonts w:eastAsia="Times New Roman" w:cs="Times New Roman"/>
          <w:color w:val="000000"/>
          <w:sz w:val="24"/>
          <w:szCs w:val="24"/>
          <w:lang w:eastAsia="uk-UA"/>
        </w:rPr>
        <w:t>юсту</w:t>
      </w:r>
      <w:proofErr w:type="spellEnd"/>
      <w:r w:rsidR="00E77B49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F756CD">
        <w:rPr>
          <w:rFonts w:eastAsia="Times New Roman" w:cs="Times New Roman"/>
          <w:color w:val="000000"/>
          <w:sz w:val="24"/>
          <w:szCs w:val="24"/>
          <w:lang w:eastAsia="uk-UA"/>
        </w:rPr>
        <w:t xml:space="preserve">тільки вмотивованої відмови в реєстрації статуту, </w:t>
      </w:r>
      <w:r w:rsidR="003C61C3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передбачається </w:t>
      </w:r>
      <w:r w:rsidR="00EA3FC2">
        <w:rPr>
          <w:rFonts w:eastAsia="Times New Roman" w:cs="Times New Roman"/>
          <w:color w:val="000000"/>
          <w:sz w:val="24"/>
          <w:szCs w:val="24"/>
          <w:lang w:eastAsia="uk-UA"/>
        </w:rPr>
        <w:t>оприлюднення на офіційному-веб порталі територіальних органів Мін</w:t>
      </w:r>
      <w:r w:rsidR="00EA3FC2">
        <w:rPr>
          <w:rFonts w:eastAsia="Times New Roman" w:cs="Times New Roman"/>
          <w:color w:val="000000"/>
          <w:sz w:val="24"/>
          <w:szCs w:val="24"/>
          <w:lang w:val="en-US" w:eastAsia="uk-UA"/>
        </w:rPr>
        <w:t>’</w:t>
      </w:r>
      <w:proofErr w:type="spellStart"/>
      <w:r w:rsidR="00EA3FC2">
        <w:rPr>
          <w:rFonts w:eastAsia="Times New Roman" w:cs="Times New Roman"/>
          <w:color w:val="000000"/>
          <w:sz w:val="24"/>
          <w:szCs w:val="24"/>
          <w:lang w:eastAsia="uk-UA"/>
        </w:rPr>
        <w:t>юсту</w:t>
      </w:r>
      <w:proofErr w:type="spellEnd"/>
      <w:r w:rsidR="00EA3FC2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відомостей</w:t>
      </w:r>
      <w:r w:rsidR="00E36A88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EA3FC2">
        <w:rPr>
          <w:rFonts w:eastAsia="Times New Roman" w:cs="Times New Roman"/>
          <w:color w:val="000000"/>
          <w:sz w:val="24"/>
          <w:szCs w:val="24"/>
          <w:lang w:eastAsia="uk-UA"/>
        </w:rPr>
        <w:t xml:space="preserve">про реєстрацію </w:t>
      </w:r>
      <w:r w:rsidR="00E36A88" w:rsidRPr="005B1B8C">
        <w:rPr>
          <w:rFonts w:eastAsia="Times New Roman" w:cs="Times New Roman"/>
          <w:color w:val="000000"/>
          <w:sz w:val="24"/>
          <w:szCs w:val="24"/>
          <w:lang w:eastAsia="uk-UA"/>
        </w:rPr>
        <w:t>статутів, що</w:t>
      </w:r>
      <w:r w:rsidR="00922B38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</w:t>
      </w:r>
      <w:r w:rsidR="00E36A88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створить передумови </w:t>
      </w:r>
      <w:r w:rsidR="0093666A" w:rsidRPr="005B1B8C">
        <w:rPr>
          <w:rFonts w:eastAsia="Times New Roman" w:cs="Times New Roman"/>
          <w:color w:val="000000"/>
          <w:sz w:val="24"/>
          <w:szCs w:val="24"/>
          <w:lang w:eastAsia="uk-UA"/>
        </w:rPr>
        <w:t>для відкритості даної інформації та</w:t>
      </w:r>
      <w:r w:rsidR="00E36A88" w:rsidRPr="005B1B8C">
        <w:rPr>
          <w:rFonts w:eastAsia="Times New Roman" w:cs="Times New Roman"/>
          <w:color w:val="000000"/>
          <w:sz w:val="24"/>
          <w:szCs w:val="24"/>
          <w:lang w:eastAsia="uk-UA"/>
        </w:rPr>
        <w:t xml:space="preserve"> забезпечення участі громадян в управлінні місцевими справами</w:t>
      </w:r>
      <w:r w:rsidR="0075316E" w:rsidRPr="005B1B8C">
        <w:rPr>
          <w:rFonts w:eastAsia="Times New Roman" w:cs="Times New Roman"/>
          <w:color w:val="000000"/>
          <w:sz w:val="24"/>
          <w:szCs w:val="24"/>
          <w:lang w:eastAsia="uk-UA"/>
        </w:rPr>
        <w:t>.</w:t>
      </w:r>
    </w:p>
    <w:p w14:paraId="37BF52B7" w14:textId="77777777" w:rsidR="008968CC" w:rsidRPr="00A14831" w:rsidRDefault="008968CC" w:rsidP="00151EA6">
      <w:pPr>
        <w:spacing w:after="150"/>
        <w:jc w:val="both"/>
        <w:rPr>
          <w:rFonts w:eastAsia="Times New Roman" w:cs="Times New Roman"/>
          <w:b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b/>
          <w:color w:val="000000"/>
          <w:sz w:val="26"/>
          <w:szCs w:val="26"/>
          <w:lang w:eastAsia="uk-UA"/>
        </w:rPr>
        <w:t>2. Вплив на ключові інтереси усіх заінтересованих сторін: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85"/>
        <w:gridCol w:w="3804"/>
        <w:gridCol w:w="2319"/>
        <w:gridCol w:w="2424"/>
        <w:gridCol w:w="9"/>
        <w:gridCol w:w="4559"/>
      </w:tblGrid>
      <w:tr w:rsidR="001F2883" w:rsidRPr="00E1404D" w14:paraId="2F5B2CFD" w14:textId="77777777" w:rsidTr="00E36A88">
        <w:trPr>
          <w:trHeight w:val="1597"/>
        </w:trPr>
        <w:tc>
          <w:tcPr>
            <w:tcW w:w="714" w:type="pct"/>
            <w:vMerge w:val="restart"/>
            <w:shd w:val="clear" w:color="auto" w:fill="auto"/>
            <w:hideMark/>
          </w:tcPr>
          <w:p w14:paraId="41D4FF89" w14:textId="77777777" w:rsidR="008968CC" w:rsidRPr="00E1404D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bookmarkStart w:id="2" w:name="n1762"/>
            <w:bookmarkEnd w:id="2"/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>Заінтересована сторона</w:t>
            </w:r>
          </w:p>
        </w:tc>
        <w:tc>
          <w:tcPr>
            <w:tcW w:w="1243" w:type="pct"/>
            <w:vMerge w:val="restart"/>
            <w:shd w:val="clear" w:color="auto" w:fill="auto"/>
            <w:hideMark/>
          </w:tcPr>
          <w:p w14:paraId="235C086F" w14:textId="77777777" w:rsidR="008968CC" w:rsidRPr="00E1404D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>Ключовий інтерес</w:t>
            </w:r>
          </w:p>
        </w:tc>
        <w:tc>
          <w:tcPr>
            <w:tcW w:w="1553" w:type="pct"/>
            <w:gridSpan w:val="3"/>
            <w:shd w:val="clear" w:color="auto" w:fill="auto"/>
            <w:hideMark/>
          </w:tcPr>
          <w:p w14:paraId="1CBC3FC0" w14:textId="77777777" w:rsidR="008968CC" w:rsidRPr="00E1404D" w:rsidRDefault="008968CC" w:rsidP="00987E9D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 (у числовому або якісному вимірі)</w:t>
            </w:r>
          </w:p>
        </w:tc>
        <w:tc>
          <w:tcPr>
            <w:tcW w:w="1490" w:type="pct"/>
            <w:shd w:val="clear" w:color="auto" w:fill="auto"/>
            <w:hideMark/>
          </w:tcPr>
          <w:p w14:paraId="7CE66FC7" w14:textId="77777777" w:rsidR="008968CC" w:rsidRPr="00E1404D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 xml:space="preserve">Пояснення (чому саме реалізація </w:t>
            </w:r>
            <w:proofErr w:type="spellStart"/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>акта</w:t>
            </w:r>
            <w:proofErr w:type="spellEnd"/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 xml:space="preserve"> призведе до очікуваного впливу)</w:t>
            </w:r>
          </w:p>
        </w:tc>
      </w:tr>
      <w:tr w:rsidR="00036C1C" w:rsidRPr="00E1404D" w14:paraId="65AD3400" w14:textId="77777777" w:rsidTr="001F2883">
        <w:trPr>
          <w:trHeight w:val="390"/>
        </w:trPr>
        <w:tc>
          <w:tcPr>
            <w:tcW w:w="714" w:type="pct"/>
            <w:vMerge/>
            <w:shd w:val="clear" w:color="auto" w:fill="auto"/>
            <w:vAlign w:val="center"/>
            <w:hideMark/>
          </w:tcPr>
          <w:p w14:paraId="57D9BDF3" w14:textId="77777777" w:rsidR="008968CC" w:rsidRPr="00E1404D" w:rsidRDefault="008968CC" w:rsidP="002C1434">
            <w:pPr>
              <w:ind w:firstLine="0"/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43" w:type="pct"/>
            <w:vMerge/>
            <w:shd w:val="clear" w:color="auto" w:fill="auto"/>
            <w:vAlign w:val="center"/>
            <w:hideMark/>
          </w:tcPr>
          <w:p w14:paraId="5758FD86" w14:textId="77777777" w:rsidR="008968CC" w:rsidRPr="00E1404D" w:rsidRDefault="008968CC" w:rsidP="002C1434">
            <w:pPr>
              <w:ind w:firstLine="0"/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8" w:type="pct"/>
            <w:shd w:val="clear" w:color="auto" w:fill="auto"/>
            <w:hideMark/>
          </w:tcPr>
          <w:p w14:paraId="0C02ED40" w14:textId="77777777" w:rsidR="008968CC" w:rsidRPr="00E1404D" w:rsidRDefault="008968CC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>короткостроковий вплив (до року)</w:t>
            </w:r>
          </w:p>
        </w:tc>
        <w:tc>
          <w:tcPr>
            <w:tcW w:w="792" w:type="pct"/>
            <w:shd w:val="clear" w:color="auto" w:fill="auto"/>
            <w:hideMark/>
          </w:tcPr>
          <w:p w14:paraId="6754757B" w14:textId="77777777" w:rsidR="008968CC" w:rsidRPr="00E1404D" w:rsidRDefault="008968CC" w:rsidP="002C1434">
            <w:pPr>
              <w:spacing w:before="150" w:after="150"/>
              <w:ind w:left="-54" w:right="-62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b/>
                <w:sz w:val="24"/>
                <w:szCs w:val="24"/>
                <w:lang w:eastAsia="uk-UA"/>
              </w:rPr>
              <w:t>середньостроковий вплив (більше року)</w:t>
            </w:r>
          </w:p>
        </w:tc>
        <w:tc>
          <w:tcPr>
            <w:tcW w:w="1493" w:type="pct"/>
            <w:gridSpan w:val="2"/>
            <w:shd w:val="clear" w:color="auto" w:fill="auto"/>
            <w:hideMark/>
          </w:tcPr>
          <w:p w14:paraId="2E2BE998" w14:textId="77777777" w:rsidR="008968CC" w:rsidRPr="00E1404D" w:rsidRDefault="008968CC" w:rsidP="002C1434">
            <w:pPr>
              <w:ind w:firstLine="0"/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036C1C" w:rsidRPr="00E1404D" w14:paraId="5DED2A7C" w14:textId="77777777" w:rsidTr="001F2883">
        <w:tc>
          <w:tcPr>
            <w:tcW w:w="714" w:type="pct"/>
            <w:shd w:val="clear" w:color="auto" w:fill="auto"/>
            <w:vAlign w:val="center"/>
          </w:tcPr>
          <w:p w14:paraId="40B0BE4A" w14:textId="77777777" w:rsidR="008968CC" w:rsidRPr="00E1404D" w:rsidRDefault="00E36A88" w:rsidP="00DE633C">
            <w:pPr>
              <w:ind w:firstLine="0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E1404D">
              <w:rPr>
                <w:sz w:val="24"/>
                <w:szCs w:val="24"/>
              </w:rPr>
              <w:t xml:space="preserve">Жителі територіальних громад </w:t>
            </w:r>
            <w:r w:rsidRPr="00E1404D">
              <w:rPr>
                <w:rFonts w:eastAsia="Times New Roman" w:cs="Times New Roman"/>
                <w:sz w:val="24"/>
                <w:szCs w:val="24"/>
                <w:lang w:eastAsia="uk-UA"/>
              </w:rPr>
              <w:t>сіл, селищ, міст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5780F200" w14:textId="7D73AE8D" w:rsidR="008968CC" w:rsidRPr="00E1404D" w:rsidRDefault="00E36A88" w:rsidP="00E36A88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E1404D">
              <w:rPr>
                <w:sz w:val="24"/>
                <w:szCs w:val="24"/>
              </w:rPr>
              <w:t xml:space="preserve">Доступ </w:t>
            </w:r>
            <w:r w:rsidR="00E77B49" w:rsidRPr="00E1404D">
              <w:rPr>
                <w:sz w:val="24"/>
                <w:szCs w:val="24"/>
              </w:rPr>
              <w:t xml:space="preserve">жителів територіальних громад </w:t>
            </w:r>
            <w:r w:rsidRPr="00E1404D">
              <w:rPr>
                <w:sz w:val="24"/>
                <w:szCs w:val="24"/>
              </w:rPr>
              <w:t xml:space="preserve">до механізмів участі </w:t>
            </w:r>
            <w:r w:rsidRPr="00E1404D">
              <w:rPr>
                <w:rFonts w:eastAsia="Times New Roman" w:cs="Times New Roman"/>
                <w:sz w:val="24"/>
                <w:szCs w:val="24"/>
                <w:lang w:eastAsia="uk-UA"/>
              </w:rPr>
              <w:t xml:space="preserve">в управлінні місцевими справами, що визначаються статутами територіальних громад  </w:t>
            </w:r>
          </w:p>
        </w:tc>
        <w:tc>
          <w:tcPr>
            <w:tcW w:w="758" w:type="pct"/>
            <w:shd w:val="clear" w:color="auto" w:fill="auto"/>
          </w:tcPr>
          <w:p w14:paraId="08D0D108" w14:textId="77777777" w:rsidR="008968CC" w:rsidRPr="00E1404D" w:rsidRDefault="008968CC" w:rsidP="002C1434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</w:pPr>
            <w:r w:rsidRPr="00E1404D">
              <w:t>Позитивний</w:t>
            </w:r>
          </w:p>
        </w:tc>
        <w:tc>
          <w:tcPr>
            <w:tcW w:w="792" w:type="pct"/>
            <w:shd w:val="clear" w:color="auto" w:fill="auto"/>
          </w:tcPr>
          <w:p w14:paraId="4DEFCA04" w14:textId="77777777" w:rsidR="008968CC" w:rsidRPr="00E1404D" w:rsidRDefault="008968CC" w:rsidP="002C1434">
            <w:pPr>
              <w:pStyle w:val="rvps2"/>
              <w:shd w:val="clear" w:color="auto" w:fill="FFFFFF"/>
              <w:spacing w:before="120" w:beforeAutospacing="0" w:after="0" w:afterAutospacing="0"/>
              <w:ind w:firstLine="5"/>
              <w:jc w:val="center"/>
              <w:textAlignment w:val="baseline"/>
            </w:pPr>
            <w:r w:rsidRPr="00E1404D">
              <w:t>Позитивний</w:t>
            </w:r>
          </w:p>
        </w:tc>
        <w:tc>
          <w:tcPr>
            <w:tcW w:w="1493" w:type="pct"/>
            <w:gridSpan w:val="2"/>
            <w:shd w:val="clear" w:color="auto" w:fill="auto"/>
          </w:tcPr>
          <w:p w14:paraId="0325D871" w14:textId="2806136D" w:rsidR="008968CC" w:rsidRPr="00E1404D" w:rsidRDefault="00E36A88" w:rsidP="00987E9D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Спрощення процедури реєстрації статутів територіальних громад дозволить </w:t>
            </w:r>
            <w:r w:rsidR="00922B38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полегшити і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пришвидшити процес</w:t>
            </w:r>
            <w:r w:rsidR="00922B38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реєстрації статутів</w:t>
            </w:r>
            <w:r w:rsidR="00F756C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756CD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та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набрання</w:t>
            </w:r>
            <w:r w:rsidR="00875905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22B38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ними</w:t>
            </w:r>
            <w:r w:rsidR="00875905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чинності</w:t>
            </w:r>
            <w:r w:rsidR="00F756C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922B38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D082F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Оприлюднення </w:t>
            </w:r>
            <w:r w:rsidR="00F756CD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територіальними органами </w:t>
            </w:r>
            <w:r w:rsidR="00EA3FC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Мін</w:t>
            </w:r>
            <w:r w:rsidR="00EA3FC2">
              <w:rPr>
                <w:rFonts w:eastAsia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 w:rsidR="00EA3FC2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юсту</w:t>
            </w:r>
            <w:proofErr w:type="spellEnd"/>
            <w:r w:rsidR="00F756CD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D082F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відомостей про </w:t>
            </w:r>
            <w:r w:rsidR="00F756CD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реєстр</w:t>
            </w:r>
            <w:r w:rsidR="00ED082F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ацію</w:t>
            </w:r>
            <w:r w:rsidR="00F756CD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статутів</w:t>
            </w:r>
            <w:r w:rsidR="00F756C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D082F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на офіційному веб-сайті органу</w:t>
            </w:r>
            <w:r w:rsidR="00F756CD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забезпечить вільний доступ до інформації</w:t>
            </w:r>
            <w:r w:rsidR="00922B38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про</w:t>
            </w:r>
            <w:r w:rsidR="00922B38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756C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реєстрацію </w:t>
            </w:r>
            <w:r w:rsidR="00922B38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статут</w:t>
            </w:r>
            <w:r w:rsidR="00F756C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ів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.   </w:t>
            </w:r>
          </w:p>
        </w:tc>
      </w:tr>
      <w:tr w:rsidR="00E36A88" w:rsidRPr="00E1404D" w14:paraId="3F73B167" w14:textId="77777777" w:rsidTr="001F2883">
        <w:tc>
          <w:tcPr>
            <w:tcW w:w="714" w:type="pct"/>
            <w:shd w:val="clear" w:color="auto" w:fill="auto"/>
            <w:vAlign w:val="center"/>
          </w:tcPr>
          <w:p w14:paraId="6E83C32B" w14:textId="77777777" w:rsidR="00E36A88" w:rsidRPr="00E1404D" w:rsidRDefault="00E36A88" w:rsidP="00E36A88">
            <w:pPr>
              <w:ind w:firstLine="0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E1404D">
              <w:rPr>
                <w:sz w:val="24"/>
                <w:szCs w:val="24"/>
              </w:rPr>
              <w:t xml:space="preserve">Посадові особи органів місцевого самоврядування 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4FE33D95" w14:textId="77E933C6" w:rsidR="00E36A88" w:rsidRPr="00E77B49" w:rsidRDefault="00F958F3" w:rsidP="00E36A88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З</w:t>
            </w:r>
            <w:r w:rsidR="00E36A88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меншення обсягу документів, які </w:t>
            </w:r>
            <w:r w:rsidR="0093666A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необхідно</w:t>
            </w:r>
            <w:r w:rsidR="00E36A88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подавати для реєстрації </w:t>
            </w:r>
            <w:r w:rsidR="00E36A88" w:rsidRPr="00E1404D">
              <w:rPr>
                <w:rFonts w:eastAsia="Times New Roman" w:cs="Times New Roman"/>
                <w:sz w:val="24"/>
                <w:szCs w:val="24"/>
                <w:lang w:eastAsia="uk-UA"/>
              </w:rPr>
              <w:t>статутів територіальних громад</w:t>
            </w:r>
            <w:r>
              <w:rPr>
                <w:rFonts w:eastAsia="Times New Roman" w:cs="Times New Roman"/>
                <w:sz w:val="24"/>
                <w:szCs w:val="24"/>
                <w:lang w:eastAsia="uk-UA"/>
              </w:rPr>
              <w:t>, з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ахист від невмотивованої відмови в реєстрації, можливість подання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документів безпосередньо</w:t>
            </w:r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36A88" w:rsidRPr="00E1404D">
              <w:rPr>
                <w:rFonts w:eastAsia="Times New Roman" w:cs="Times New Roman"/>
                <w:sz w:val="24"/>
                <w:szCs w:val="24"/>
                <w:lang w:eastAsia="uk-UA"/>
              </w:rPr>
              <w:t xml:space="preserve"> 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територіальни</w:t>
            </w:r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х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орган</w:t>
            </w:r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ів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Мін</w:t>
            </w:r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proofErr w:type="spellStart"/>
            <w:r w:rsidR="00E77B49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юсту</w:t>
            </w:r>
            <w:proofErr w:type="spellEnd"/>
          </w:p>
        </w:tc>
        <w:tc>
          <w:tcPr>
            <w:tcW w:w="758" w:type="pct"/>
            <w:shd w:val="clear" w:color="auto" w:fill="auto"/>
          </w:tcPr>
          <w:p w14:paraId="5BBE6BCC" w14:textId="77777777" w:rsidR="00E36A88" w:rsidRPr="00E1404D" w:rsidRDefault="00E36A88" w:rsidP="00E36A88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</w:pPr>
            <w:r w:rsidRPr="00E1404D">
              <w:lastRenderedPageBreak/>
              <w:t>Позитивний</w:t>
            </w:r>
          </w:p>
        </w:tc>
        <w:tc>
          <w:tcPr>
            <w:tcW w:w="792" w:type="pct"/>
            <w:shd w:val="clear" w:color="auto" w:fill="auto"/>
          </w:tcPr>
          <w:p w14:paraId="333A55D0" w14:textId="77777777" w:rsidR="00E36A88" w:rsidRPr="00E1404D" w:rsidRDefault="00E36A88" w:rsidP="00E36A88">
            <w:pPr>
              <w:pStyle w:val="rvps2"/>
              <w:shd w:val="clear" w:color="auto" w:fill="FFFFFF"/>
              <w:spacing w:before="120" w:beforeAutospacing="0" w:after="0" w:afterAutospacing="0"/>
              <w:ind w:firstLine="5"/>
              <w:jc w:val="center"/>
              <w:textAlignment w:val="baseline"/>
            </w:pPr>
            <w:r w:rsidRPr="00E1404D">
              <w:t>Позитивний</w:t>
            </w:r>
          </w:p>
        </w:tc>
        <w:tc>
          <w:tcPr>
            <w:tcW w:w="1493" w:type="pct"/>
            <w:gridSpan w:val="2"/>
            <w:shd w:val="clear" w:color="auto" w:fill="auto"/>
          </w:tcPr>
          <w:p w14:paraId="5FFAEB32" w14:textId="77777777" w:rsidR="00E36A88" w:rsidRPr="00E1404D" w:rsidRDefault="00875905" w:rsidP="00875905">
            <w:pPr>
              <w:ind w:firstLine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З переліку документів, які необхідно подати для реєстрації статуту територіальної громади</w:t>
            </w:r>
            <w:r w:rsidR="00922B38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 виключено рішення  представницького  органу місцевого самоврядування про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затвердження статуту та протокол   пленарного  засідання  представницького  органу місцевого самоврядування, на якому прийнято рішення про реєстрацію статуту</w:t>
            </w:r>
            <w:r w:rsidR="00E36A88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.   </w:t>
            </w:r>
          </w:p>
          <w:p w14:paraId="381DC6D0" w14:textId="77777777" w:rsidR="00875905" w:rsidRPr="00E1404D" w:rsidRDefault="00922B38" w:rsidP="00875905">
            <w:pPr>
              <w:ind w:firstLine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Згідно запропонованих змін д</w:t>
            </w:r>
            <w:r w:rsidR="00875905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остатньо подати копію рішення </w:t>
            </w:r>
            <w:r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представницького  органу місцевого самоврядування </w:t>
            </w:r>
            <w:r w:rsidR="00875905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та витяг з протоколу пленарного  засідання  з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розгляду </w:t>
            </w:r>
            <w:r w:rsidR="00875905" w:rsidRPr="00E1404D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 xml:space="preserve">відповідного питання. </w:t>
            </w:r>
          </w:p>
          <w:p w14:paraId="6960F7BF" w14:textId="77777777" w:rsidR="00F958F3" w:rsidRDefault="00875905" w:rsidP="00875905">
            <w:pPr>
              <w:pStyle w:val="HTML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14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Крім того, у разі відмови в реєстрації статуту орган, що здійснює реєстрацію, надає правове обґрунтування щодо невідповідності статуту або окремих його положень Конституції та законам України.</w:t>
            </w:r>
          </w:p>
          <w:p w14:paraId="480D4097" w14:textId="4124D74E" w:rsidR="00875905" w:rsidRPr="00E1404D" w:rsidRDefault="00F958F3" w:rsidP="00875905">
            <w:pPr>
              <w:pStyle w:val="HTML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Прийняття та видача документів здійснюється </w:t>
            </w:r>
            <w:r w:rsid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через ЦНАП або шляхом подання до </w:t>
            </w:r>
            <w:r w:rsidRPr="00F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відповідни</w:t>
            </w:r>
            <w:r w:rsid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  <w:r w:rsidRPr="00F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територіальни</w:t>
            </w:r>
            <w:r w:rsid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  <w:r w:rsidRPr="00F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органів </w:t>
            </w:r>
            <w:proofErr w:type="spellStart"/>
            <w:r w:rsidR="00E77B49" w:rsidRP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Мін</w:t>
            </w:r>
            <w:proofErr w:type="spellEnd"/>
            <w:r w:rsidR="00E77B49" w:rsidRP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’</w:t>
            </w:r>
            <w:proofErr w:type="spellStart"/>
            <w:r w:rsidR="00E77B49" w:rsidRPr="00E77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</w:tr>
    </w:tbl>
    <w:p w14:paraId="5469A05F" w14:textId="77777777" w:rsidR="001A4A4E" w:rsidRPr="00987E9D" w:rsidRDefault="001A4A4E" w:rsidP="00987E9D">
      <w:pPr>
        <w:ind w:firstLine="0"/>
        <w:rPr>
          <w:sz w:val="12"/>
        </w:rPr>
      </w:pPr>
    </w:p>
    <w:sectPr w:rsidR="001A4A4E" w:rsidRPr="00987E9D" w:rsidSect="00987E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678" w:bottom="426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E8A18" w14:textId="77777777" w:rsidR="00FA509F" w:rsidRDefault="00FA509F" w:rsidP="00F04E2E">
      <w:r>
        <w:separator/>
      </w:r>
    </w:p>
  </w:endnote>
  <w:endnote w:type="continuationSeparator" w:id="0">
    <w:p w14:paraId="77B15FD0" w14:textId="77777777" w:rsidR="00FA509F" w:rsidRDefault="00FA509F" w:rsidP="00F0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DC39D" w14:textId="77777777" w:rsidR="00A14831" w:rsidRDefault="00A1483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AD007" w14:textId="77777777" w:rsidR="00A14831" w:rsidRDefault="00A1483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FDB63" w14:textId="77777777" w:rsidR="00A14831" w:rsidRDefault="00A148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B0F23" w14:textId="77777777" w:rsidR="00FA509F" w:rsidRDefault="00FA509F" w:rsidP="00F04E2E">
      <w:r>
        <w:separator/>
      </w:r>
    </w:p>
  </w:footnote>
  <w:footnote w:type="continuationSeparator" w:id="0">
    <w:p w14:paraId="0CD87F60" w14:textId="77777777" w:rsidR="00FA509F" w:rsidRDefault="00FA509F" w:rsidP="00F04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B715" w14:textId="77777777" w:rsidR="00A14831" w:rsidRDefault="00A1483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BF2B9" w14:textId="77777777" w:rsidR="00F04E2E" w:rsidRPr="00F3171A" w:rsidRDefault="00F04E2E" w:rsidP="00F04E2E">
    <w:pPr>
      <w:pStyle w:val="a5"/>
      <w:jc w:val="right"/>
      <w:rPr>
        <w:sz w:val="26"/>
        <w:szCs w:val="26"/>
      </w:rPr>
    </w:pPr>
    <w:r w:rsidRPr="00F3171A">
      <w:rPr>
        <w:sz w:val="26"/>
        <w:szCs w:val="26"/>
      </w:rPr>
      <w:t>Додаток до пояснювальної записки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3C6CB" w14:textId="77777777" w:rsidR="00A14831" w:rsidRDefault="00A148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E84"/>
    <w:rsid w:val="00032A23"/>
    <w:rsid w:val="00036C1C"/>
    <w:rsid w:val="00086DFA"/>
    <w:rsid w:val="00120C9B"/>
    <w:rsid w:val="00124647"/>
    <w:rsid w:val="00135A4F"/>
    <w:rsid w:val="00151EA6"/>
    <w:rsid w:val="001A4A4E"/>
    <w:rsid w:val="001E2A05"/>
    <w:rsid w:val="001F2883"/>
    <w:rsid w:val="00266737"/>
    <w:rsid w:val="002A7ACE"/>
    <w:rsid w:val="003C61C3"/>
    <w:rsid w:val="003E7C48"/>
    <w:rsid w:val="00421573"/>
    <w:rsid w:val="0042605A"/>
    <w:rsid w:val="0046625C"/>
    <w:rsid w:val="00535BCD"/>
    <w:rsid w:val="00537D4D"/>
    <w:rsid w:val="00573223"/>
    <w:rsid w:val="00586744"/>
    <w:rsid w:val="005B1B8C"/>
    <w:rsid w:val="006D16C0"/>
    <w:rsid w:val="0075316E"/>
    <w:rsid w:val="00755170"/>
    <w:rsid w:val="00795C86"/>
    <w:rsid w:val="007A0E84"/>
    <w:rsid w:val="008633A7"/>
    <w:rsid w:val="00875905"/>
    <w:rsid w:val="008968CC"/>
    <w:rsid w:val="00922B38"/>
    <w:rsid w:val="0093666A"/>
    <w:rsid w:val="00987E9D"/>
    <w:rsid w:val="009B68F4"/>
    <w:rsid w:val="00A0155D"/>
    <w:rsid w:val="00A14831"/>
    <w:rsid w:val="00A81D8B"/>
    <w:rsid w:val="00AD43A6"/>
    <w:rsid w:val="00AF26F1"/>
    <w:rsid w:val="00B15221"/>
    <w:rsid w:val="00B22172"/>
    <w:rsid w:val="00B51F5D"/>
    <w:rsid w:val="00C82DF6"/>
    <w:rsid w:val="00D52608"/>
    <w:rsid w:val="00DE633C"/>
    <w:rsid w:val="00E1404D"/>
    <w:rsid w:val="00E36A88"/>
    <w:rsid w:val="00E77B49"/>
    <w:rsid w:val="00E96B0A"/>
    <w:rsid w:val="00EA3FC2"/>
    <w:rsid w:val="00EC1263"/>
    <w:rsid w:val="00ED082F"/>
    <w:rsid w:val="00F04E2E"/>
    <w:rsid w:val="00F14587"/>
    <w:rsid w:val="00F3171A"/>
    <w:rsid w:val="00F74257"/>
    <w:rsid w:val="00F756CD"/>
    <w:rsid w:val="00F83830"/>
    <w:rsid w:val="00F958F3"/>
    <w:rsid w:val="00FA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96F8"/>
  <w15:docId w15:val="{1BF8B262-EE6C-4C4A-AE46-B44F0726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D52608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52608"/>
  </w:style>
  <w:style w:type="paragraph" w:customStyle="1" w:styleId="rvps2">
    <w:name w:val="rvps2"/>
    <w:basedOn w:val="a"/>
    <w:rsid w:val="00D52608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68C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68C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4E2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04E2E"/>
  </w:style>
  <w:style w:type="paragraph" w:styleId="a7">
    <w:name w:val="footer"/>
    <w:basedOn w:val="a"/>
    <w:link w:val="a8"/>
    <w:uiPriority w:val="99"/>
    <w:unhideWhenUsed/>
    <w:rsid w:val="00F04E2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04E2E"/>
  </w:style>
  <w:style w:type="paragraph" w:styleId="HTML">
    <w:name w:val="HTML Preformatted"/>
    <w:basedOn w:val="a"/>
    <w:link w:val="HTML0"/>
    <w:uiPriority w:val="99"/>
    <w:unhideWhenUsed/>
    <w:rsid w:val="00875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875905"/>
    <w:rPr>
      <w:rFonts w:ascii="Courier New" w:eastAsiaTheme="minorEastAsia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9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Олександр Юрійович</dc:creator>
  <cp:keywords/>
  <dc:description/>
  <cp:lastModifiedBy>Павлюк Оксана Володимирівна</cp:lastModifiedBy>
  <cp:revision>10</cp:revision>
  <cp:lastPrinted>2019-12-03T12:27:00Z</cp:lastPrinted>
  <dcterms:created xsi:type="dcterms:W3CDTF">2019-10-17T09:31:00Z</dcterms:created>
  <dcterms:modified xsi:type="dcterms:W3CDTF">2019-12-03T12:27:00Z</dcterms:modified>
</cp:coreProperties>
</file>