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610" w:rsidRDefault="00BC623D" w:rsidP="00033C09">
      <w:pPr>
        <w:jc w:val="center"/>
        <w:rPr>
          <w:rFonts w:ascii="Times New Roman" w:hAnsi="Times New Roman"/>
          <w:sz w:val="28"/>
          <w:szCs w:val="28"/>
        </w:rPr>
      </w:pPr>
      <w:r>
        <w:rPr>
          <w:rFonts w:ascii="Times New Roman" w:hAnsi="Times New Roman"/>
          <w:sz w:val="28"/>
          <w:szCs w:val="28"/>
        </w:rPr>
        <w:t>ПОРІВНЯЛЬНА ТАБЛИЦЯ</w:t>
      </w:r>
    </w:p>
    <w:p w:rsidR="00B82610" w:rsidRDefault="00BC623D">
      <w:pPr>
        <w:pStyle w:val="rvps2"/>
        <w:shd w:val="clear" w:color="auto" w:fill="FFFFFF"/>
        <w:spacing w:before="0" w:after="0"/>
        <w:jc w:val="center"/>
        <w:textAlignment w:val="baseline"/>
      </w:pPr>
      <w:r>
        <w:rPr>
          <w:b/>
          <w:sz w:val="28"/>
          <w:szCs w:val="28"/>
        </w:rPr>
        <w:t>до проекту Закону України «</w:t>
      </w:r>
      <w:r>
        <w:rPr>
          <w:rStyle w:val="rvts23"/>
          <w:b/>
          <w:sz w:val="28"/>
          <w:szCs w:val="28"/>
        </w:rPr>
        <w:t>Про внесення змін до Кримінального кодексу України (щодо кримінальної відповідальності керівників лісових господарств за необґрунтовану вирубку лісів)</w:t>
      </w:r>
      <w:r>
        <w:t>»</w:t>
      </w:r>
    </w:p>
    <w:tbl>
      <w:tblPr>
        <w:tblW w:w="14525" w:type="dxa"/>
        <w:tblInd w:w="-113" w:type="dxa"/>
        <w:tblLook w:val="04A0" w:firstRow="1" w:lastRow="0" w:firstColumn="1" w:lastColumn="0" w:noHBand="0" w:noVBand="1"/>
      </w:tblPr>
      <w:tblGrid>
        <w:gridCol w:w="7260"/>
        <w:gridCol w:w="7265"/>
      </w:tblGrid>
      <w:tr w:rsidR="00B82610">
        <w:tc>
          <w:tcPr>
            <w:tcW w:w="7260" w:type="dxa"/>
            <w:tcBorders>
              <w:top w:val="single" w:sz="4" w:space="0" w:color="000000"/>
              <w:left w:val="single" w:sz="4" w:space="0" w:color="000000"/>
              <w:bottom w:val="single" w:sz="4" w:space="0" w:color="000000"/>
            </w:tcBorders>
            <w:shd w:val="clear" w:color="auto" w:fill="auto"/>
          </w:tcPr>
          <w:p w:rsidR="00B82610" w:rsidRDefault="00BC623D">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Зміст положення (норми) чинного законодавства</w:t>
            </w:r>
          </w:p>
        </w:tc>
        <w:tc>
          <w:tcPr>
            <w:tcW w:w="7265" w:type="dxa"/>
            <w:tcBorders>
              <w:top w:val="single" w:sz="4" w:space="0" w:color="000000"/>
              <w:left w:val="single" w:sz="4" w:space="0" w:color="000000"/>
              <w:bottom w:val="single" w:sz="4" w:space="0" w:color="000000"/>
              <w:right w:val="single" w:sz="4" w:space="0" w:color="000000"/>
            </w:tcBorders>
            <w:shd w:val="clear" w:color="auto" w:fill="auto"/>
          </w:tcPr>
          <w:p w:rsidR="00B82610" w:rsidRDefault="00BC623D">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Зміст положення (норми) запропонованого</w:t>
            </w:r>
          </w:p>
          <w:p w:rsidR="00B82610" w:rsidRDefault="00BC623D">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проекту акта</w:t>
            </w:r>
          </w:p>
        </w:tc>
      </w:tr>
      <w:tr w:rsidR="00B82610">
        <w:tc>
          <w:tcPr>
            <w:tcW w:w="14525" w:type="dxa"/>
            <w:gridSpan w:val="2"/>
            <w:tcBorders>
              <w:top w:val="single" w:sz="4" w:space="0" w:color="000000"/>
              <w:left w:val="single" w:sz="4" w:space="0" w:color="000000"/>
              <w:bottom w:val="single" w:sz="4" w:space="0" w:color="000000"/>
              <w:right w:val="single" w:sz="4" w:space="0" w:color="000000"/>
            </w:tcBorders>
            <w:shd w:val="clear" w:color="auto" w:fill="auto"/>
          </w:tcPr>
          <w:p w:rsidR="00B82610" w:rsidRDefault="00BC623D">
            <w:pPr>
              <w:spacing w:after="0" w:line="240" w:lineRule="auto"/>
              <w:ind w:firstLine="567"/>
              <w:jc w:val="center"/>
              <w:rPr>
                <w:rFonts w:ascii="Times New Roman" w:hAnsi="Times New Roman"/>
                <w:b/>
                <w:bCs/>
                <w:sz w:val="28"/>
                <w:szCs w:val="28"/>
              </w:rPr>
            </w:pPr>
            <w:r>
              <w:rPr>
                <w:rFonts w:ascii="Times New Roman" w:hAnsi="Times New Roman"/>
                <w:b/>
                <w:sz w:val="28"/>
                <w:szCs w:val="28"/>
              </w:rPr>
              <w:t>Кримінальний кодекс України</w:t>
            </w:r>
          </w:p>
        </w:tc>
      </w:tr>
      <w:tr w:rsidR="00B82610">
        <w:tc>
          <w:tcPr>
            <w:tcW w:w="7260" w:type="dxa"/>
            <w:tcBorders>
              <w:top w:val="single" w:sz="4" w:space="0" w:color="000000"/>
              <w:left w:val="single" w:sz="4" w:space="0" w:color="000000"/>
              <w:bottom w:val="single" w:sz="4" w:space="0" w:color="000000"/>
            </w:tcBorders>
            <w:shd w:val="clear" w:color="auto" w:fill="auto"/>
          </w:tcPr>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Стаття 246. Незаконна порубка або незаконне перевезення, зберігання, збут лісу</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1. Незаконна порубка дерев або чагарників у лісах, захисних та інших лісових насадженнях, перевезення, зберігання, збут незаконно зрубаних дерев або чагарників, що заподіяли істотну шкоду, -</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карається штрафом від тисячі до тисячі п’ятисот неоподатковуваних мінімумів доходів громадян або арештом на строк до шести місяців, або обмеженням волі на строк до трьох років, або позбавленням волі на той самий строк.</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2. Ті самі дії, вчинені повторно або за попередньою змовою групою осіб, -</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караються обмеженням волі на строк від трьох до п’яти років або позбавленням волі на той самий строк.</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3. Дії, передбачені частиною першою цієї статті, вчинені у заповідниках або на територіях чи об’єктах природно-заповідного фонду, або в інших особливо охоронюваних лісах, -</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караються штрафом від тисячі п’ятисот до двох тисяч неоподатковуваних мінімумів доходів громадян або обмеженням волі на строк від трьох до п’яти років, або позбавленням волі на той самий строк.</w:t>
            </w:r>
          </w:p>
          <w:p w:rsidR="00B82610" w:rsidRDefault="00B82610">
            <w:pPr>
              <w:spacing w:after="0" w:line="240" w:lineRule="auto"/>
              <w:ind w:firstLine="567"/>
              <w:jc w:val="both"/>
              <w:rPr>
                <w:rFonts w:ascii="Times New Roman" w:hAnsi="Times New Roman"/>
                <w:bCs/>
                <w:sz w:val="28"/>
                <w:szCs w:val="28"/>
              </w:rPr>
            </w:pPr>
          </w:p>
          <w:p w:rsidR="00B82610" w:rsidRDefault="00B82610">
            <w:pPr>
              <w:spacing w:after="0" w:line="240" w:lineRule="auto"/>
              <w:ind w:firstLine="567"/>
              <w:jc w:val="both"/>
              <w:rPr>
                <w:rFonts w:ascii="Times New Roman" w:hAnsi="Times New Roman"/>
                <w:bCs/>
                <w:sz w:val="28"/>
                <w:szCs w:val="28"/>
              </w:rPr>
            </w:pPr>
          </w:p>
          <w:p w:rsidR="00B82610" w:rsidRDefault="00BC623D">
            <w:pPr>
              <w:spacing w:after="0" w:line="240" w:lineRule="auto"/>
              <w:ind w:firstLine="567"/>
              <w:jc w:val="both"/>
              <w:rPr>
                <w:rFonts w:ascii="Times New Roman" w:hAnsi="Times New Roman"/>
                <w:bCs/>
                <w:i/>
                <w:sz w:val="28"/>
                <w:szCs w:val="28"/>
              </w:rPr>
            </w:pPr>
            <w:r>
              <w:rPr>
                <w:rFonts w:ascii="Times New Roman" w:hAnsi="Times New Roman"/>
                <w:bCs/>
                <w:i/>
                <w:sz w:val="28"/>
                <w:szCs w:val="28"/>
              </w:rPr>
              <w:t>Норма відсутня</w:t>
            </w:r>
          </w:p>
          <w:p w:rsidR="00B82610" w:rsidRDefault="00B82610">
            <w:pPr>
              <w:spacing w:after="0" w:line="240" w:lineRule="auto"/>
              <w:ind w:firstLine="567"/>
              <w:jc w:val="both"/>
              <w:rPr>
                <w:rFonts w:ascii="Times New Roman" w:hAnsi="Times New Roman"/>
                <w:bCs/>
                <w:i/>
                <w:sz w:val="28"/>
                <w:szCs w:val="28"/>
              </w:rPr>
            </w:pPr>
          </w:p>
          <w:p w:rsidR="00B82610" w:rsidRDefault="00B82610">
            <w:pPr>
              <w:spacing w:after="0" w:line="240" w:lineRule="auto"/>
              <w:ind w:firstLine="567"/>
              <w:jc w:val="both"/>
              <w:rPr>
                <w:rFonts w:ascii="Times New Roman" w:hAnsi="Times New Roman"/>
                <w:bCs/>
                <w:sz w:val="28"/>
                <w:szCs w:val="28"/>
              </w:rPr>
            </w:pPr>
          </w:p>
          <w:p w:rsidR="00B82610" w:rsidRDefault="00B82610">
            <w:pPr>
              <w:spacing w:after="0" w:line="240" w:lineRule="auto"/>
              <w:ind w:firstLine="567"/>
              <w:jc w:val="both"/>
              <w:rPr>
                <w:rFonts w:ascii="Times New Roman" w:hAnsi="Times New Roman"/>
                <w:bCs/>
                <w:sz w:val="28"/>
                <w:szCs w:val="28"/>
              </w:rPr>
            </w:pPr>
          </w:p>
          <w:p w:rsidR="00B82610" w:rsidRDefault="00B82610">
            <w:pPr>
              <w:spacing w:after="0" w:line="240" w:lineRule="auto"/>
              <w:ind w:firstLine="567"/>
              <w:jc w:val="both"/>
              <w:rPr>
                <w:rFonts w:ascii="Times New Roman" w:hAnsi="Times New Roman"/>
                <w:bCs/>
                <w:sz w:val="28"/>
                <w:szCs w:val="28"/>
              </w:rPr>
            </w:pPr>
          </w:p>
          <w:p w:rsidR="00B82610" w:rsidRDefault="00BC623D">
            <w:pPr>
              <w:spacing w:after="0" w:line="240" w:lineRule="auto"/>
              <w:ind w:firstLine="567"/>
              <w:jc w:val="both"/>
            </w:pPr>
            <w:r>
              <w:rPr>
                <w:rFonts w:ascii="Times New Roman" w:hAnsi="Times New Roman"/>
                <w:bCs/>
                <w:sz w:val="28"/>
                <w:szCs w:val="28"/>
              </w:rPr>
              <w:t>4. Дії, передбачені частинами першою, другою чи третьою цієї статті, якщо вони спричинили тяжкі наслідки, -</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караються позбавленням волі на строк від п’яти до семи років.</w:t>
            </w:r>
          </w:p>
          <w:p w:rsidR="00B82610" w:rsidRDefault="00B82610">
            <w:pPr>
              <w:spacing w:after="0" w:line="240" w:lineRule="auto"/>
              <w:ind w:firstLine="567"/>
              <w:jc w:val="both"/>
              <w:rPr>
                <w:rFonts w:ascii="Times New Roman" w:hAnsi="Times New Roman"/>
                <w:bCs/>
                <w:sz w:val="28"/>
                <w:szCs w:val="28"/>
              </w:rPr>
            </w:pP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Примітка. 1. У цій статті істотною шкодою вважається така шкода, яка у двадцять і більше разів перевищує неоподатковуваний мінімум доходів громадян, або інша істотна шкода, завдана навколишньому природному середовищу в частині забезпечення ефективної охорони, належного захисту, раціонального використання та відтворення лісів.</w:t>
            </w:r>
          </w:p>
          <w:p w:rsidR="00B82610" w:rsidRDefault="00BC623D">
            <w:pPr>
              <w:spacing w:after="0" w:line="240" w:lineRule="auto"/>
              <w:ind w:firstLine="567"/>
              <w:jc w:val="both"/>
              <w:rPr>
                <w:rFonts w:ascii="Times New Roman" w:hAnsi="Times New Roman"/>
                <w:b/>
                <w:bCs/>
                <w:sz w:val="28"/>
                <w:szCs w:val="28"/>
              </w:rPr>
            </w:pPr>
            <w:r>
              <w:rPr>
                <w:rFonts w:ascii="Times New Roman" w:hAnsi="Times New Roman"/>
                <w:bCs/>
                <w:sz w:val="28"/>
                <w:szCs w:val="28"/>
              </w:rPr>
              <w:t>2. У цій статті тяжкими наслідками вважаються такі наслідки, які у шістдесят і більше разів перевищують неоподатковуваний мінімум доходів громадян.</w:t>
            </w:r>
          </w:p>
        </w:tc>
        <w:tc>
          <w:tcPr>
            <w:tcW w:w="7265" w:type="dxa"/>
            <w:tcBorders>
              <w:top w:val="single" w:sz="4" w:space="0" w:color="000000"/>
              <w:left w:val="single" w:sz="4" w:space="0" w:color="000000"/>
              <w:bottom w:val="single" w:sz="4" w:space="0" w:color="000000"/>
              <w:right w:val="single" w:sz="4" w:space="0" w:color="000000"/>
            </w:tcBorders>
            <w:shd w:val="clear" w:color="auto" w:fill="auto"/>
          </w:tcPr>
          <w:p w:rsidR="00B82610" w:rsidRDefault="00BC623D">
            <w:pPr>
              <w:pStyle w:val="StyleZakonu"/>
              <w:spacing w:after="0" w:line="240" w:lineRule="auto"/>
            </w:pPr>
            <w:r>
              <w:rPr>
                <w:rFonts w:eastAsia="Times New Roman"/>
                <w:sz w:val="28"/>
                <w:szCs w:val="28"/>
                <w:lang w:eastAsia="uk-UA"/>
              </w:rPr>
              <w:lastRenderedPageBreak/>
              <w:t>Стаття 246. Незаконна порубка або незаконне перевезення, зберігання, збут лісу</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1. Незаконна порубка дерев або чагарників у лісах, захисних та інших лісових насадженнях, перевезення, зберігання, збут незаконно зрубаних дерев або чагарників, що заподіяли істотну шкоду, -</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карається штрафом від тисячі до тисячі п’ятисот неоподатковуваних мінімумів доходів громадян або арештом на строк до шести місяців, або обмеженням волі на строк до трьох років, або позбавленням волі на той самий строк.</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2. Ті самі дії, вчинені повторно або за попередньою змовою групою осіб, -</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караються обмеженням волі на строк від трьох до п’яти років або позбавленням волі на той самий строк.</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3. Дії, передбачені частиною першою цієї статті, вчинені у заповідниках або на територіях чи об’єктах природно-заповідного фонду, або в інших особливо охоронюваних лісах, -</w:t>
            </w:r>
          </w:p>
          <w:p w:rsidR="00B82610" w:rsidRDefault="00BC623D">
            <w:pPr>
              <w:spacing w:after="0" w:line="240" w:lineRule="auto"/>
              <w:ind w:firstLine="567"/>
              <w:jc w:val="both"/>
              <w:rPr>
                <w:rFonts w:ascii="Times New Roman" w:hAnsi="Times New Roman"/>
                <w:bCs/>
                <w:sz w:val="28"/>
                <w:szCs w:val="28"/>
              </w:rPr>
            </w:pPr>
            <w:r>
              <w:rPr>
                <w:rFonts w:ascii="Times New Roman" w:hAnsi="Times New Roman"/>
                <w:bCs/>
                <w:sz w:val="28"/>
                <w:szCs w:val="28"/>
              </w:rPr>
              <w:t>караються штрафом від тисячі п’ятисот до двох тисяч неоподатковуваних мінімумів доходів громадян або обмеженням волі на строк від трьох до п’яти років, або позбавленням волі на той самий строк.</w:t>
            </w:r>
          </w:p>
          <w:p w:rsidR="00B82610" w:rsidRDefault="00B82610">
            <w:pPr>
              <w:spacing w:after="0" w:line="240" w:lineRule="auto"/>
              <w:ind w:firstLine="567"/>
              <w:jc w:val="both"/>
              <w:rPr>
                <w:rFonts w:ascii="Times New Roman" w:hAnsi="Times New Roman"/>
                <w:b/>
                <w:bCs/>
                <w:sz w:val="28"/>
                <w:szCs w:val="28"/>
              </w:rPr>
            </w:pPr>
          </w:p>
          <w:p w:rsidR="00A20A15" w:rsidRPr="00814C80" w:rsidRDefault="00A20A15" w:rsidP="00A20A15">
            <w:pPr>
              <w:spacing w:after="0" w:line="240" w:lineRule="auto"/>
              <w:ind w:firstLine="567"/>
              <w:jc w:val="both"/>
              <w:rPr>
                <w:rFonts w:ascii="Times New Roman" w:hAnsi="Times New Roman"/>
                <w:b/>
                <w:bCs/>
                <w:sz w:val="28"/>
                <w:szCs w:val="28"/>
              </w:rPr>
            </w:pPr>
            <w:r>
              <w:rPr>
                <w:rFonts w:ascii="Times New Roman" w:hAnsi="Times New Roman"/>
                <w:b/>
                <w:bCs/>
                <w:sz w:val="28"/>
                <w:szCs w:val="28"/>
              </w:rPr>
              <w:t>4. За необґрунтовану порубку дерев у лісах, здійснену лісовим господарством та за відома керівника цього господарства, персональну відповідальність у вигляді позбавлення волі на строк від трьох до п’яти років несе керівник лісового господарства.</w:t>
            </w:r>
          </w:p>
          <w:p w:rsidR="00A20A15" w:rsidRDefault="00A20A15" w:rsidP="00A20A15">
            <w:pPr>
              <w:spacing w:after="0" w:line="240" w:lineRule="auto"/>
              <w:ind w:firstLine="567"/>
              <w:jc w:val="both"/>
            </w:pPr>
            <w:r>
              <w:rPr>
                <w:rFonts w:ascii="Times New Roman" w:hAnsi="Times New Roman"/>
                <w:bCs/>
                <w:sz w:val="28"/>
                <w:szCs w:val="28"/>
              </w:rPr>
              <w:t xml:space="preserve">5. Дії, передбачені частинами першою, другою, третьою чи </w:t>
            </w:r>
            <w:r w:rsidR="00033C09">
              <w:rPr>
                <w:rFonts w:ascii="Times New Roman" w:hAnsi="Times New Roman"/>
                <w:b/>
                <w:bCs/>
                <w:sz w:val="28"/>
                <w:szCs w:val="28"/>
              </w:rPr>
              <w:t>четвертою</w:t>
            </w:r>
            <w:r>
              <w:rPr>
                <w:rFonts w:ascii="Times New Roman" w:hAnsi="Times New Roman"/>
                <w:bCs/>
                <w:sz w:val="28"/>
                <w:szCs w:val="28"/>
              </w:rPr>
              <w:t xml:space="preserve"> цієї статті, якщо вони спричинили тяжкі наслідки, -</w:t>
            </w:r>
          </w:p>
          <w:p w:rsidR="00A20A15" w:rsidRDefault="00A20A15" w:rsidP="00A20A15">
            <w:pPr>
              <w:spacing w:after="0" w:line="240" w:lineRule="auto"/>
              <w:ind w:firstLine="567"/>
              <w:jc w:val="both"/>
              <w:rPr>
                <w:rFonts w:ascii="Times New Roman" w:hAnsi="Times New Roman"/>
                <w:bCs/>
                <w:sz w:val="28"/>
                <w:szCs w:val="28"/>
              </w:rPr>
            </w:pPr>
            <w:r>
              <w:rPr>
                <w:rFonts w:ascii="Times New Roman" w:hAnsi="Times New Roman"/>
                <w:bCs/>
                <w:sz w:val="28"/>
                <w:szCs w:val="28"/>
              </w:rPr>
              <w:t>караються позбавленням волі на строк від п’яти до семи років.</w:t>
            </w:r>
          </w:p>
          <w:p w:rsidR="00A20A15" w:rsidRDefault="00A20A15">
            <w:pPr>
              <w:spacing w:after="0" w:line="240" w:lineRule="auto"/>
              <w:ind w:firstLine="567"/>
              <w:jc w:val="both"/>
              <w:rPr>
                <w:rFonts w:ascii="Times New Roman" w:hAnsi="Times New Roman"/>
                <w:bCs/>
                <w:sz w:val="28"/>
                <w:szCs w:val="28"/>
              </w:rPr>
            </w:pPr>
          </w:p>
          <w:p w:rsidR="00B82610" w:rsidRDefault="00B82610">
            <w:pPr>
              <w:spacing w:after="0" w:line="240" w:lineRule="auto"/>
              <w:ind w:firstLine="567"/>
              <w:jc w:val="both"/>
              <w:rPr>
                <w:rFonts w:ascii="Times New Roman" w:hAnsi="Times New Roman"/>
                <w:bCs/>
                <w:sz w:val="28"/>
                <w:szCs w:val="28"/>
              </w:rPr>
            </w:pPr>
          </w:p>
          <w:p w:rsidR="00B82610" w:rsidRDefault="00BC623D">
            <w:pPr>
              <w:pStyle w:val="StyleZakonu"/>
              <w:spacing w:after="0" w:line="240" w:lineRule="auto"/>
              <w:rPr>
                <w:rFonts w:eastAsia="Times New Roman"/>
                <w:sz w:val="28"/>
                <w:szCs w:val="28"/>
                <w:lang w:eastAsia="uk-UA"/>
              </w:rPr>
            </w:pPr>
            <w:r>
              <w:rPr>
                <w:rFonts w:eastAsia="Times New Roman"/>
                <w:sz w:val="28"/>
                <w:szCs w:val="28"/>
                <w:lang w:eastAsia="uk-UA"/>
              </w:rPr>
              <w:t>Примітка. 1. У цій статті істотною шкодою вважається така шкода, яка у двадцять і більше разів перевищує неоподатковуваний мінімум доходів громадян, або інша істотна</w:t>
            </w:r>
            <w:bookmarkStart w:id="0" w:name="_GoBack"/>
            <w:bookmarkEnd w:id="0"/>
            <w:r>
              <w:rPr>
                <w:rFonts w:eastAsia="Times New Roman"/>
                <w:sz w:val="28"/>
                <w:szCs w:val="28"/>
                <w:lang w:eastAsia="uk-UA"/>
              </w:rPr>
              <w:t xml:space="preserve"> шкода, завдана навколишньому природному середовищу в частині забезпечення ефективної охорони, належного захисту, раціонального використання та відтворення лісів.</w:t>
            </w:r>
          </w:p>
          <w:p w:rsidR="00B82610" w:rsidRDefault="00BC623D">
            <w:pPr>
              <w:pStyle w:val="StyleZakonu"/>
              <w:spacing w:after="0" w:line="240" w:lineRule="auto"/>
              <w:rPr>
                <w:b/>
                <w:bCs/>
                <w:sz w:val="28"/>
                <w:szCs w:val="28"/>
              </w:rPr>
            </w:pPr>
            <w:r>
              <w:rPr>
                <w:rFonts w:eastAsia="Times New Roman"/>
                <w:sz w:val="28"/>
                <w:szCs w:val="28"/>
                <w:lang w:eastAsia="uk-UA"/>
              </w:rPr>
              <w:t>2. У цій статті тяжкими наслідками вважаються такі наслідки, які у шістдесят і більше разів перевищують неоподатковуваний мінімум доходів громадян.</w:t>
            </w:r>
          </w:p>
        </w:tc>
      </w:tr>
    </w:tbl>
    <w:p w:rsidR="00B82610" w:rsidRDefault="00B82610">
      <w:pPr>
        <w:jc w:val="both"/>
        <w:rPr>
          <w:rFonts w:ascii="Times New Roman" w:hAnsi="Times New Roman"/>
          <w:b/>
          <w:sz w:val="28"/>
          <w:szCs w:val="28"/>
        </w:rPr>
      </w:pPr>
    </w:p>
    <w:p w:rsidR="00B82610" w:rsidRDefault="00B82610">
      <w:pPr>
        <w:jc w:val="both"/>
        <w:rPr>
          <w:rFonts w:ascii="Times New Roman" w:hAnsi="Times New Roman"/>
          <w:b/>
          <w:sz w:val="28"/>
          <w:szCs w:val="28"/>
        </w:rPr>
      </w:pPr>
    </w:p>
    <w:p w:rsidR="00B82610" w:rsidRDefault="00BC623D">
      <w:pPr>
        <w:jc w:val="both"/>
        <w:rPr>
          <w:rFonts w:ascii="Times New Roman" w:hAnsi="Times New Roman"/>
          <w:b/>
          <w:sz w:val="28"/>
          <w:szCs w:val="28"/>
          <w:lang w:val="ru-RU"/>
        </w:rPr>
      </w:pPr>
      <w:r>
        <w:rPr>
          <w:rFonts w:ascii="Times New Roman" w:hAnsi="Times New Roman"/>
          <w:b/>
          <w:sz w:val="28"/>
          <w:szCs w:val="28"/>
        </w:rPr>
        <w:t>Народний депутат України</w:t>
      </w:r>
      <w:r>
        <w:rPr>
          <w:rFonts w:ascii="Times New Roman" w:hAnsi="Times New Roman"/>
          <w:b/>
          <w:sz w:val="28"/>
          <w:szCs w:val="28"/>
          <w:lang w:val="ru-RU"/>
        </w:rPr>
        <w:t xml:space="preserve">    </w:t>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t xml:space="preserve">Костюк Д. С.                            </w:t>
      </w:r>
    </w:p>
    <w:p w:rsidR="00B82610" w:rsidRDefault="00B82610">
      <w:pPr>
        <w:ind w:firstLine="567"/>
        <w:rPr>
          <w:rFonts w:ascii="Times New Roman" w:hAnsi="Times New Roman"/>
          <w:b/>
          <w:sz w:val="28"/>
          <w:szCs w:val="28"/>
          <w:lang w:val="ru-RU"/>
        </w:rPr>
      </w:pPr>
    </w:p>
    <w:sectPr w:rsidR="00B82610">
      <w:footerReference w:type="default" r:id="rId7"/>
      <w:pgSz w:w="16838" w:h="11906" w:orient="landscape"/>
      <w:pgMar w:top="850" w:right="1134" w:bottom="764" w:left="1134"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2BB" w:rsidRDefault="004262BB">
      <w:pPr>
        <w:spacing w:after="0" w:line="240" w:lineRule="auto"/>
      </w:pPr>
      <w:r>
        <w:separator/>
      </w:r>
    </w:p>
  </w:endnote>
  <w:endnote w:type="continuationSeparator" w:id="0">
    <w:p w:rsidR="004262BB" w:rsidRDefault="00426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WenQuanYi Micro Hei">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ＭＳ ゴシック">
    <w:panose1 w:val="00000000000000000000"/>
    <w:charset w:val="80"/>
    <w:family w:val="roman"/>
    <w:notTrueType/>
    <w:pitch w:val="default"/>
  </w:font>
  <w:font w:name="Lucida Grande CY;Times New Roma">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610" w:rsidRDefault="00BC623D">
    <w:pPr>
      <w:pStyle w:val="af2"/>
      <w:jc w:val="center"/>
    </w:pPr>
    <w:r>
      <w:fldChar w:fldCharType="begin"/>
    </w:r>
    <w:r>
      <w:instrText>PAGE</w:instrText>
    </w:r>
    <w:r>
      <w:fldChar w:fldCharType="separate"/>
    </w:r>
    <w:r w:rsidR="00033C09">
      <w:rPr>
        <w:noProof/>
      </w:rPr>
      <w:t>1</w:t>
    </w:r>
    <w:r>
      <w:fldChar w:fldCharType="end"/>
    </w:r>
  </w:p>
  <w:p w:rsidR="00B82610" w:rsidRDefault="00B82610">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2BB" w:rsidRDefault="004262BB">
      <w:pPr>
        <w:spacing w:after="0" w:line="240" w:lineRule="auto"/>
      </w:pPr>
      <w:r>
        <w:separator/>
      </w:r>
    </w:p>
  </w:footnote>
  <w:footnote w:type="continuationSeparator" w:id="0">
    <w:p w:rsidR="004262BB" w:rsidRDefault="004262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9B42C8"/>
    <w:multiLevelType w:val="multilevel"/>
    <w:tmpl w:val="80ACE634"/>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pStyle w:val="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82610"/>
    <w:rsid w:val="00033C09"/>
    <w:rsid w:val="004262BB"/>
    <w:rsid w:val="00814C80"/>
    <w:rsid w:val="00A20A15"/>
    <w:rsid w:val="00B82610"/>
    <w:rsid w:val="00BC62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98A74-ADAB-435E-B937-AACCF7D0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WenQuanYi Micro Hei" w:hAnsi="Liberation Serif" w:cs="Noto Sans Devanagari"/>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Times New Roman" w:hAnsi="Calibri" w:cs="Times New Roman"/>
      <w:sz w:val="22"/>
      <w:szCs w:val="22"/>
      <w:lang w:val="uk-UA" w:bidi="ar-SA"/>
    </w:rPr>
  </w:style>
  <w:style w:type="paragraph" w:styleId="1">
    <w:name w:val="heading 1"/>
    <w:basedOn w:val="a"/>
    <w:next w:val="a"/>
    <w:qFormat/>
    <w:pPr>
      <w:keepNext/>
      <w:numPr>
        <w:numId w:val="1"/>
      </w:numPr>
      <w:spacing w:after="0" w:line="200" w:lineRule="atLeast"/>
      <w:jc w:val="center"/>
      <w:outlineLvl w:val="0"/>
    </w:pPr>
    <w:rPr>
      <w:rFonts w:ascii="Times New Roman" w:hAnsi="Times New Roman"/>
      <w:b/>
      <w:bCs/>
      <w:sz w:val="28"/>
      <w:szCs w:val="28"/>
    </w:rPr>
  </w:style>
  <w:style w:type="paragraph" w:styleId="3">
    <w:name w:val="heading 3"/>
    <w:basedOn w:val="a"/>
    <w:next w:val="a"/>
    <w:qFormat/>
    <w:pPr>
      <w:keepNext/>
      <w:keepLines/>
      <w:numPr>
        <w:ilvl w:val="2"/>
        <w:numId w:val="1"/>
      </w:numPr>
      <w:spacing w:before="200" w:after="0"/>
      <w:outlineLvl w:val="2"/>
    </w:pPr>
    <w:rPr>
      <w:rFonts w:ascii="Cambria" w:eastAsia="MS Gothic;ＭＳ ゴシック"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qFormat/>
    <w:rPr>
      <w:rFonts w:ascii="Times New Roman" w:hAnsi="Times New Roman" w:cs="Times New Roman"/>
      <w:b/>
      <w:bCs/>
      <w:sz w:val="28"/>
      <w:szCs w:val="28"/>
      <w:lang w:val="en-US"/>
    </w:rPr>
  </w:style>
  <w:style w:type="character" w:customStyle="1" w:styleId="30">
    <w:name w:val="Заголовок 3 Знак"/>
    <w:qFormat/>
    <w:rPr>
      <w:rFonts w:ascii="Cambria" w:eastAsia="MS Gothic;ＭＳ ゴシック" w:hAnsi="Cambria" w:cs="Times New Roman"/>
      <w:b/>
      <w:bCs/>
      <w:color w:val="4F81BD"/>
    </w:rPr>
  </w:style>
  <w:style w:type="character" w:customStyle="1" w:styleId="rvts9">
    <w:name w:val="rvts9"/>
    <w:qFormat/>
    <w:rPr>
      <w:rFonts w:cs="Times New Roman"/>
    </w:rPr>
  </w:style>
  <w:style w:type="character" w:customStyle="1" w:styleId="apple-converted-space">
    <w:name w:val="apple-converted-space"/>
    <w:qFormat/>
    <w:rPr>
      <w:rFonts w:cs="Times New Roman"/>
    </w:rPr>
  </w:style>
  <w:style w:type="character" w:customStyle="1" w:styleId="a3">
    <w:name w:val="Текст у виносці Знак"/>
    <w:qFormat/>
    <w:rPr>
      <w:rFonts w:ascii="Lucida Grande CY;Times New Roma" w:hAnsi="Lucida Grande CY;Times New Roma" w:cs="Lucida Grande CY;Times New Roma"/>
      <w:sz w:val="18"/>
      <w:szCs w:val="18"/>
    </w:rPr>
  </w:style>
  <w:style w:type="character" w:styleId="a4">
    <w:name w:val="annotation reference"/>
    <w:qFormat/>
    <w:rPr>
      <w:rFonts w:cs="Times New Roman"/>
      <w:sz w:val="18"/>
      <w:szCs w:val="18"/>
    </w:rPr>
  </w:style>
  <w:style w:type="character" w:customStyle="1" w:styleId="a5">
    <w:name w:val="Текст примітки Знак"/>
    <w:qFormat/>
    <w:rPr>
      <w:rFonts w:eastAsia="Times New Roman" w:cs="Times New Roman"/>
      <w:sz w:val="24"/>
      <w:szCs w:val="24"/>
    </w:rPr>
  </w:style>
  <w:style w:type="character" w:customStyle="1" w:styleId="a6">
    <w:name w:val="Тема примітки Знак"/>
    <w:qFormat/>
    <w:rPr>
      <w:rFonts w:eastAsia="Times New Roman" w:cs="Times New Roman"/>
      <w:b/>
      <w:bCs/>
      <w:sz w:val="20"/>
      <w:szCs w:val="20"/>
    </w:rPr>
  </w:style>
  <w:style w:type="character" w:customStyle="1" w:styleId="a7">
    <w:name w:val="Верхній колонтитул Знак"/>
    <w:qFormat/>
    <w:rPr>
      <w:rFonts w:cs="Times New Roman"/>
    </w:rPr>
  </w:style>
  <w:style w:type="character" w:customStyle="1" w:styleId="a8">
    <w:name w:val="Нижній колонтитул Знак"/>
    <w:qFormat/>
    <w:rPr>
      <w:rFonts w:cs="Times New Roman"/>
    </w:rPr>
  </w:style>
  <w:style w:type="character" w:customStyle="1" w:styleId="InternetLink">
    <w:name w:val="Internet Link"/>
    <w:rPr>
      <w:rFonts w:cs="Times New Roman"/>
      <w:color w:val="0000FF"/>
      <w:u w:val="single"/>
    </w:rPr>
  </w:style>
  <w:style w:type="character" w:customStyle="1" w:styleId="rvts15">
    <w:name w:val="rvts15"/>
    <w:qFormat/>
  </w:style>
  <w:style w:type="character" w:customStyle="1" w:styleId="a9">
    <w:name w:val="Название Знак"/>
    <w:qFormat/>
    <w:rPr>
      <w:rFonts w:ascii="Cambria" w:hAnsi="Cambria" w:cs="Times New Roman"/>
      <w:b/>
      <w:bCs/>
      <w:kern w:val="2"/>
      <w:sz w:val="32"/>
      <w:szCs w:val="32"/>
      <w:lang w:val="uk-UA"/>
    </w:rPr>
  </w:style>
  <w:style w:type="character" w:customStyle="1" w:styleId="rvts23">
    <w:name w:val="rvts23"/>
    <w:qFormat/>
  </w:style>
  <w:style w:type="character" w:customStyle="1" w:styleId="aa">
    <w:name w:val="Назва Знак"/>
    <w:qFormat/>
    <w:rPr>
      <w:rFonts w:ascii="Calibri Light" w:eastAsia="Times New Roman" w:hAnsi="Calibri Light" w:cs="Times New Roman"/>
      <w:b/>
      <w:bCs/>
      <w:kern w:val="2"/>
      <w:sz w:val="32"/>
      <w:szCs w:val="32"/>
      <w:lang w:val="uk-UA"/>
    </w:rPr>
  </w:style>
  <w:style w:type="paragraph" w:customStyle="1" w:styleId="Heading">
    <w:name w:val="Heading"/>
    <w:basedOn w:val="a"/>
    <w:next w:val="a"/>
    <w:qFormat/>
    <w:pPr>
      <w:spacing w:before="240" w:after="60"/>
      <w:jc w:val="center"/>
      <w:outlineLvl w:val="0"/>
    </w:pPr>
    <w:rPr>
      <w:rFonts w:ascii="Calibri Light" w:hAnsi="Calibri Light"/>
      <w:b/>
      <w:bCs/>
      <w:kern w:val="2"/>
      <w:sz w:val="32"/>
      <w:szCs w:val="32"/>
    </w:rPr>
  </w:style>
  <w:style w:type="paragraph" w:styleId="ab">
    <w:name w:val="Body Text"/>
    <w:basedOn w:val="a"/>
    <w:pPr>
      <w:spacing w:after="140"/>
    </w:pPr>
  </w:style>
  <w:style w:type="paragraph" w:styleId="ac">
    <w:name w:val="List"/>
    <w:basedOn w:val="ab"/>
    <w:rPr>
      <w:rFonts w:cs="Noto Sans Devanagari"/>
    </w:rPr>
  </w:style>
  <w:style w:type="paragraph" w:styleId="ad">
    <w:name w:val="caption"/>
    <w:basedOn w:val="a"/>
    <w:qFormat/>
    <w:pPr>
      <w:suppressLineNumbers/>
      <w:spacing w:before="120" w:after="120"/>
    </w:pPr>
    <w:rPr>
      <w:rFonts w:cs="Noto Sans Devanagari"/>
      <w:i/>
      <w:iCs/>
      <w:sz w:val="24"/>
      <w:szCs w:val="24"/>
    </w:rPr>
  </w:style>
  <w:style w:type="paragraph" w:customStyle="1" w:styleId="Index">
    <w:name w:val="Index"/>
    <w:basedOn w:val="a"/>
    <w:qFormat/>
    <w:pPr>
      <w:suppressLineNumbers/>
    </w:pPr>
    <w:rPr>
      <w:rFonts w:cs="Noto Sans Devanagari"/>
    </w:rPr>
  </w:style>
  <w:style w:type="paragraph" w:customStyle="1" w:styleId="rvps2">
    <w:name w:val="rvps2"/>
    <w:basedOn w:val="a"/>
    <w:qFormat/>
    <w:pPr>
      <w:spacing w:before="280" w:after="280" w:line="240" w:lineRule="auto"/>
    </w:pPr>
    <w:rPr>
      <w:rFonts w:ascii="Times New Roman" w:hAnsi="Times New Roman"/>
      <w:sz w:val="24"/>
      <w:szCs w:val="24"/>
    </w:rPr>
  </w:style>
  <w:style w:type="paragraph" w:styleId="ae">
    <w:name w:val="Balloon Text"/>
    <w:basedOn w:val="a"/>
    <w:qFormat/>
    <w:pPr>
      <w:spacing w:after="0" w:line="240" w:lineRule="auto"/>
    </w:pPr>
    <w:rPr>
      <w:rFonts w:ascii="Lucida Grande CY;Times New Roma" w:hAnsi="Lucida Grande CY;Times New Roma" w:cs="Lucida Grande CY;Times New Roma"/>
      <w:sz w:val="18"/>
      <w:szCs w:val="18"/>
    </w:rPr>
  </w:style>
  <w:style w:type="paragraph" w:styleId="af">
    <w:name w:val="annotation text"/>
    <w:basedOn w:val="a"/>
    <w:qFormat/>
    <w:pPr>
      <w:spacing w:line="240" w:lineRule="auto"/>
    </w:pPr>
    <w:rPr>
      <w:sz w:val="24"/>
      <w:szCs w:val="24"/>
    </w:rPr>
  </w:style>
  <w:style w:type="paragraph" w:styleId="af0">
    <w:name w:val="annotation subject"/>
    <w:basedOn w:val="af"/>
    <w:next w:val="af"/>
    <w:qFormat/>
    <w:rPr>
      <w:b/>
      <w:bCs/>
      <w:sz w:val="20"/>
      <w:szCs w:val="20"/>
    </w:rPr>
  </w:style>
  <w:style w:type="paragraph" w:customStyle="1" w:styleId="HeaderandFooter">
    <w:name w:val="Header and Footer"/>
    <w:basedOn w:val="a"/>
    <w:qFormat/>
    <w:pPr>
      <w:suppressLineNumbers/>
      <w:tabs>
        <w:tab w:val="center" w:pos="4986"/>
        <w:tab w:val="right" w:pos="9972"/>
      </w:tabs>
    </w:pPr>
  </w:style>
  <w:style w:type="paragraph" w:styleId="af1">
    <w:name w:val="header"/>
    <w:basedOn w:val="a"/>
    <w:pPr>
      <w:tabs>
        <w:tab w:val="center" w:pos="4819"/>
        <w:tab w:val="right" w:pos="9639"/>
      </w:tabs>
      <w:spacing w:after="0" w:line="240" w:lineRule="auto"/>
    </w:pPr>
  </w:style>
  <w:style w:type="paragraph" w:styleId="af2">
    <w:name w:val="footer"/>
    <w:basedOn w:val="a"/>
    <w:pPr>
      <w:tabs>
        <w:tab w:val="center" w:pos="4819"/>
        <w:tab w:val="right" w:pos="9639"/>
      </w:tabs>
      <w:spacing w:after="0" w:line="240" w:lineRule="auto"/>
    </w:pPr>
  </w:style>
  <w:style w:type="paragraph" w:customStyle="1" w:styleId="rvps7">
    <w:name w:val="rvps7"/>
    <w:basedOn w:val="a"/>
    <w:qFormat/>
    <w:pPr>
      <w:spacing w:before="280" w:after="280" w:line="240" w:lineRule="auto"/>
    </w:pPr>
    <w:rPr>
      <w:rFonts w:ascii="Times New Roman" w:hAnsi="Times New Roman"/>
      <w:sz w:val="24"/>
      <w:szCs w:val="24"/>
    </w:rPr>
  </w:style>
  <w:style w:type="paragraph" w:customStyle="1" w:styleId="StyleZakonu">
    <w:name w:val="StyleZakonu"/>
    <w:basedOn w:val="a"/>
    <w:qFormat/>
    <w:pPr>
      <w:spacing w:after="60" w:line="220" w:lineRule="exact"/>
      <w:ind w:firstLine="284"/>
      <w:jc w:val="both"/>
    </w:pPr>
    <w:rPr>
      <w:rFonts w:ascii="Times New Roman" w:eastAsia="Calibri" w:hAnsi="Times New Roman"/>
      <w:sz w:val="20"/>
      <w:szCs w:val="20"/>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2579</Words>
  <Characters>1471</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ПОРІВНЯЛЬНА ТАБЛИЦЯ</vt:lpstr>
    </vt:vector>
  </TitlesOfParts>
  <Company/>
  <LinksUpToDate>false</LinksUpToDate>
  <CharactersWithSpaces>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Дмитрий</dc:creator>
  <cp:keywords/>
  <dc:description/>
  <cp:lastModifiedBy>Костюк Дмитро Сергійович</cp:lastModifiedBy>
  <cp:revision>17</cp:revision>
  <cp:lastPrinted>2019-12-11T11:56:00Z</cp:lastPrinted>
  <dcterms:created xsi:type="dcterms:W3CDTF">2019-04-15T10:18:00Z</dcterms:created>
  <dcterms:modified xsi:type="dcterms:W3CDTF">2019-12-11T11:58:00Z</dcterms:modified>
  <dc:language>en-US</dc:language>
</cp:coreProperties>
</file>