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3BF" w:rsidRPr="00E823C6" w:rsidRDefault="002743BF" w:rsidP="002743BF">
      <w:pPr>
        <w:ind w:firstLine="851"/>
        <w:jc w:val="center"/>
        <w:rPr>
          <w:b/>
          <w:sz w:val="28"/>
          <w:szCs w:val="28"/>
        </w:rPr>
      </w:pPr>
      <w:bookmarkStart w:id="0" w:name="_GoBack"/>
      <w:bookmarkEnd w:id="0"/>
      <w:r w:rsidRPr="00E823C6">
        <w:rPr>
          <w:b/>
          <w:sz w:val="28"/>
          <w:szCs w:val="28"/>
        </w:rPr>
        <w:t>ПОЯСНЮВАЛЬНА ЗАПИСКА</w:t>
      </w:r>
    </w:p>
    <w:p w:rsidR="002743BF" w:rsidRPr="00E823C6" w:rsidRDefault="002743BF" w:rsidP="002743BF">
      <w:pPr>
        <w:ind w:firstLine="851"/>
        <w:jc w:val="center"/>
        <w:rPr>
          <w:b/>
          <w:sz w:val="28"/>
          <w:szCs w:val="28"/>
        </w:rPr>
      </w:pPr>
      <w:r w:rsidRPr="00E823C6">
        <w:rPr>
          <w:b/>
          <w:sz w:val="28"/>
          <w:szCs w:val="28"/>
        </w:rPr>
        <w:t xml:space="preserve">до проєкту Закону України </w:t>
      </w:r>
    </w:p>
    <w:p w:rsidR="002743BF" w:rsidRPr="00E823C6" w:rsidRDefault="002743BF" w:rsidP="005C60F2">
      <w:pPr>
        <w:ind w:firstLine="851"/>
        <w:jc w:val="center"/>
        <w:rPr>
          <w:b/>
          <w:sz w:val="28"/>
          <w:szCs w:val="28"/>
        </w:rPr>
      </w:pPr>
      <w:r w:rsidRPr="00E823C6">
        <w:rPr>
          <w:b/>
          <w:sz w:val="28"/>
          <w:szCs w:val="28"/>
        </w:rPr>
        <w:t>«Про внесення змін до Кодексу України з процедур банкрутства</w:t>
      </w:r>
      <w:r w:rsidR="005C60F2" w:rsidRPr="005C60F2">
        <w:rPr>
          <w:b/>
          <w:sz w:val="28"/>
          <w:szCs w:val="28"/>
          <w:lang w:val="ru-RU"/>
        </w:rPr>
        <w:t xml:space="preserve"> </w:t>
      </w:r>
      <w:r w:rsidR="005C60F2">
        <w:rPr>
          <w:b/>
          <w:sz w:val="28"/>
          <w:szCs w:val="28"/>
        </w:rPr>
        <w:t>щодо вдосконалення процедур банкрутства державних підприємств оборонно-промислового комплексу</w:t>
      </w:r>
      <w:r w:rsidRPr="00E823C6">
        <w:rPr>
          <w:b/>
          <w:sz w:val="28"/>
          <w:szCs w:val="28"/>
        </w:rPr>
        <w:t>»</w:t>
      </w:r>
    </w:p>
    <w:p w:rsidR="002743BF" w:rsidRPr="00D12BB5" w:rsidRDefault="002743BF" w:rsidP="00D12BB5">
      <w:pPr>
        <w:jc w:val="both"/>
        <w:rPr>
          <w:sz w:val="28"/>
          <w:szCs w:val="28"/>
        </w:rPr>
      </w:pPr>
    </w:p>
    <w:p w:rsidR="002743BF" w:rsidRPr="00C67166" w:rsidRDefault="00D12BB5" w:rsidP="00D12BB5">
      <w:pPr>
        <w:numPr>
          <w:ilvl w:val="0"/>
          <w:numId w:val="10"/>
        </w:numPr>
        <w:jc w:val="both"/>
        <w:rPr>
          <w:b/>
          <w:sz w:val="28"/>
          <w:szCs w:val="28"/>
        </w:rPr>
      </w:pPr>
      <w:r w:rsidRPr="005A6A4E">
        <w:rPr>
          <w:b/>
          <w:sz w:val="28"/>
          <w:szCs w:val="28"/>
        </w:rPr>
        <w:t>Обґрунтування необхідності прийняття законопроекту</w:t>
      </w:r>
    </w:p>
    <w:p w:rsidR="002743BF" w:rsidRDefault="002743BF" w:rsidP="002743BF">
      <w:pPr>
        <w:ind w:firstLine="709"/>
        <w:jc w:val="both"/>
        <w:rPr>
          <w:sz w:val="28"/>
          <w:szCs w:val="28"/>
        </w:rPr>
      </w:pPr>
      <w:r>
        <w:rPr>
          <w:sz w:val="28"/>
          <w:szCs w:val="28"/>
        </w:rPr>
        <w:t xml:space="preserve">Відповідно до частин першої-другої статті 4 Закону України «Про особливості управління об’єктами державної власності в оборонно-промисловому комплексі» (далі – Закон) </w:t>
      </w:r>
      <w:r w:rsidRPr="00071650">
        <w:rPr>
          <w:sz w:val="28"/>
          <w:szCs w:val="28"/>
        </w:rPr>
        <w:t xml:space="preserve">уповноваженим суб'єктом господарювання з управління об'єктами державної власності в </w:t>
      </w:r>
      <w:r>
        <w:rPr>
          <w:sz w:val="28"/>
          <w:szCs w:val="28"/>
        </w:rPr>
        <w:t xml:space="preserve">ОПК є </w:t>
      </w:r>
      <w:r w:rsidR="005C60F2" w:rsidRPr="008D5A6F">
        <w:rPr>
          <w:bCs/>
          <w:color w:val="000000"/>
          <w:sz w:val="28"/>
          <w:szCs w:val="28"/>
        </w:rPr>
        <w:t>Державний концерн «Укроборонпром»</w:t>
      </w:r>
      <w:r w:rsidR="005C60F2">
        <w:rPr>
          <w:bCs/>
          <w:color w:val="000000"/>
          <w:sz w:val="28"/>
          <w:szCs w:val="28"/>
        </w:rPr>
        <w:t xml:space="preserve"> </w:t>
      </w:r>
      <w:r w:rsidR="005C60F2">
        <w:rPr>
          <w:sz w:val="28"/>
          <w:szCs w:val="28"/>
        </w:rPr>
        <w:t>(далі – Концерн, ДК «Укроборонпром»)</w:t>
      </w:r>
      <w:r w:rsidR="005C60F2">
        <w:rPr>
          <w:bCs/>
          <w:color w:val="000000"/>
          <w:sz w:val="28"/>
          <w:szCs w:val="28"/>
        </w:rPr>
        <w:t>.</w:t>
      </w:r>
      <w:r>
        <w:rPr>
          <w:sz w:val="28"/>
          <w:szCs w:val="28"/>
        </w:rPr>
        <w:t xml:space="preserve"> Д</w:t>
      </w:r>
      <w:r w:rsidRPr="00071650">
        <w:rPr>
          <w:sz w:val="28"/>
          <w:szCs w:val="28"/>
        </w:rPr>
        <w:t xml:space="preserve">о </w:t>
      </w:r>
      <w:r>
        <w:rPr>
          <w:sz w:val="28"/>
          <w:szCs w:val="28"/>
        </w:rPr>
        <w:t xml:space="preserve">його </w:t>
      </w:r>
      <w:r w:rsidRPr="00071650">
        <w:rPr>
          <w:sz w:val="28"/>
          <w:szCs w:val="28"/>
        </w:rPr>
        <w:t xml:space="preserve">складу входять державні підприємства </w:t>
      </w:r>
      <w:r>
        <w:rPr>
          <w:sz w:val="28"/>
          <w:szCs w:val="28"/>
        </w:rPr>
        <w:t>ОПК</w:t>
      </w:r>
      <w:r w:rsidRPr="00071650">
        <w:rPr>
          <w:sz w:val="28"/>
          <w:szCs w:val="28"/>
        </w:rPr>
        <w:t>, в тому числі казенні підприємства</w:t>
      </w:r>
      <w:r>
        <w:rPr>
          <w:sz w:val="28"/>
          <w:szCs w:val="28"/>
        </w:rPr>
        <w:t xml:space="preserve">. Крім того, відповідно до пункту 9 частини першої статті 7 Закону, у процесі управління об’єктами державної власності в ОПК Концерн </w:t>
      </w:r>
      <w:r w:rsidRPr="00B70ECF">
        <w:rPr>
          <w:sz w:val="28"/>
          <w:szCs w:val="28"/>
        </w:rPr>
        <w:t>здійснює управління корпоративними правами держави стосовно пакетів акцій, що належать державі у статутних капіталах акціонерних товариств та</w:t>
      </w:r>
      <w:r>
        <w:rPr>
          <w:sz w:val="28"/>
          <w:szCs w:val="28"/>
        </w:rPr>
        <w:t xml:space="preserve"> передані в управління Концерну.</w:t>
      </w:r>
    </w:p>
    <w:p w:rsidR="002743BF" w:rsidRDefault="002743BF" w:rsidP="002743BF">
      <w:pPr>
        <w:ind w:firstLine="709"/>
        <w:jc w:val="both"/>
        <w:rPr>
          <w:sz w:val="28"/>
          <w:szCs w:val="28"/>
        </w:rPr>
      </w:pPr>
      <w:r>
        <w:rPr>
          <w:sz w:val="28"/>
          <w:szCs w:val="28"/>
        </w:rPr>
        <w:t xml:space="preserve">Такі підприємства є досить складними в управлінні (прийнятті господарських та виробничих рішень), керівництво ними потребує спеціальних наукових та технічних знань, а їхня діяльність напряму пов’язана із забезпеченням обороноздатності та безпеки України, що має підвищене значення в умовах збройної агресії Російської Федерації проти України. Для деяких з підприємств-учасників ДК «Укроборонпром» основним </w:t>
      </w:r>
      <w:r w:rsidRPr="00836FEE">
        <w:rPr>
          <w:sz w:val="28"/>
          <w:szCs w:val="28"/>
        </w:rPr>
        <w:t>джерелом доходу є виконання державних оборонних замовлень, які безпосередньо</w:t>
      </w:r>
      <w:r w:rsidRPr="00836FEE">
        <w:rPr>
          <w:sz w:val="28"/>
          <w:szCs w:val="28"/>
          <w:lang w:val="ru-RU"/>
        </w:rPr>
        <w:t xml:space="preserve"> </w:t>
      </w:r>
      <w:r w:rsidRPr="00836FEE">
        <w:rPr>
          <w:sz w:val="28"/>
          <w:szCs w:val="28"/>
        </w:rPr>
        <w:t>залежать від щорічного бюджетного фінансування. При цьому загальновідомо, що окремі підприємства</w:t>
      </w:r>
      <w:r>
        <w:rPr>
          <w:sz w:val="28"/>
          <w:szCs w:val="28"/>
        </w:rPr>
        <w:t>-</w:t>
      </w:r>
      <w:r w:rsidRPr="00836FEE">
        <w:rPr>
          <w:sz w:val="28"/>
          <w:szCs w:val="28"/>
        </w:rPr>
        <w:t>учасники ДК «Укроборонпром» вже не перший рік перебувають у важкому фінансовому стані.</w:t>
      </w:r>
      <w:r>
        <w:rPr>
          <w:sz w:val="28"/>
          <w:szCs w:val="28"/>
        </w:rPr>
        <w:t xml:space="preserve"> </w:t>
      </w:r>
    </w:p>
    <w:p w:rsidR="002743BF" w:rsidRPr="000E4935" w:rsidRDefault="002743BF" w:rsidP="002743BF">
      <w:pPr>
        <w:ind w:firstLine="709"/>
        <w:jc w:val="both"/>
        <w:rPr>
          <w:sz w:val="28"/>
          <w:szCs w:val="28"/>
        </w:rPr>
      </w:pPr>
      <w:r>
        <w:rPr>
          <w:sz w:val="28"/>
          <w:szCs w:val="28"/>
        </w:rPr>
        <w:t xml:space="preserve">Відповідно до частини шостої статті 34 Кодексу України з процедур банкрутства (далі – Кодекс) </w:t>
      </w:r>
      <w:r w:rsidRPr="00753DB7">
        <w:rPr>
          <w:sz w:val="28"/>
          <w:szCs w:val="28"/>
        </w:rPr>
        <w:t>боржник зобов’язаний у місячний строк звернутися до господарського суду із заявою про відкриття провадження у справі у разі, якщо задоволення вимог одного або кількох кредиторів призведе до неможливості виконання грошових зобов’язань боржника в повному обсязі перед іншими кредиторами (загроза неплатоспроможності)</w:t>
      </w:r>
      <w:r>
        <w:rPr>
          <w:sz w:val="28"/>
          <w:szCs w:val="28"/>
        </w:rPr>
        <w:t xml:space="preserve"> та в інших випадках, передбачених Кодексом</w:t>
      </w:r>
      <w:r w:rsidRPr="00753DB7">
        <w:rPr>
          <w:sz w:val="28"/>
          <w:szCs w:val="28"/>
        </w:rPr>
        <w:t>.</w:t>
      </w:r>
      <w:r>
        <w:rPr>
          <w:sz w:val="28"/>
          <w:szCs w:val="28"/>
        </w:rPr>
        <w:t xml:space="preserve"> У разі невиконання цієї вимоги </w:t>
      </w:r>
      <w:r w:rsidRPr="00660BF5">
        <w:rPr>
          <w:sz w:val="28"/>
          <w:szCs w:val="28"/>
        </w:rPr>
        <w:t>керівник боржника несе солідарну відповідальність за незадоволення вимог кредиторів.</w:t>
      </w:r>
    </w:p>
    <w:p w:rsidR="002743BF" w:rsidRPr="00836FEE" w:rsidRDefault="002743BF" w:rsidP="002743BF">
      <w:pPr>
        <w:ind w:firstLine="709"/>
        <w:jc w:val="both"/>
        <w:rPr>
          <w:sz w:val="28"/>
          <w:szCs w:val="28"/>
        </w:rPr>
      </w:pPr>
      <w:r w:rsidRPr="002743BF">
        <w:rPr>
          <w:sz w:val="28"/>
          <w:szCs w:val="28"/>
        </w:rPr>
        <w:t>У раз</w:t>
      </w:r>
      <w:r>
        <w:rPr>
          <w:sz w:val="28"/>
          <w:szCs w:val="28"/>
        </w:rPr>
        <w:t>і виявлення підстав для відкриття провадження у справі про банкрутство господарський суд постановляє відповідну ухвалу, якою, зокрема, запроваджує мораторій на задоволення вимог кредиторів та вводить процедуру розпорядження майном і призначає розпорядника майна з числа арбітражних керуючих (стаття 39 Кодексу). При цьому процедура розпорядження майном вводиться на строк, який не може перевищувати 170 календарних днів (стаття 44 Кодексу), після чого господарський суд може або ввести процедуру санації і затвердити схвалений кредиторами план санації, або визнати боржника банкрутом і відкрити ліквідаційну процедуру, або закрити провадження у справі про банкрутство (стаття 49 Кодексу).</w:t>
      </w:r>
    </w:p>
    <w:p w:rsidR="002743BF" w:rsidRPr="00411D80" w:rsidRDefault="002743BF" w:rsidP="002743BF">
      <w:pPr>
        <w:ind w:firstLine="709"/>
        <w:jc w:val="both"/>
        <w:rPr>
          <w:sz w:val="28"/>
          <w:szCs w:val="28"/>
        </w:rPr>
      </w:pPr>
      <w:r w:rsidRPr="00411D80">
        <w:rPr>
          <w:sz w:val="28"/>
          <w:szCs w:val="28"/>
        </w:rPr>
        <w:lastRenderedPageBreak/>
        <w:t xml:space="preserve">Відповідно до статті 50 Кодексу під </w:t>
      </w:r>
      <w:r w:rsidRPr="000E4935">
        <w:rPr>
          <w:sz w:val="28"/>
          <w:szCs w:val="28"/>
        </w:rPr>
        <w:t>санацією розуміється система заходів, що здійснюються під час провадження у справі про банкрутство з метою запобігання визнанню боржника банкрутом та його ліквідації, спрямованих на оздоровлення фінансово-господарського становища боржника, а також задоволення в повному обсязі або частково вимог кредиторів шляхом реструктуризації підприємства, боргів і активів та/або зміни організаційно-правової та виробничої структури боржника.</w:t>
      </w:r>
    </w:p>
    <w:p w:rsidR="002743BF" w:rsidRPr="00836FEE" w:rsidRDefault="002743BF" w:rsidP="002743BF">
      <w:pPr>
        <w:pStyle w:val="rvps2"/>
        <w:shd w:val="clear" w:color="auto" w:fill="FFFFFF"/>
        <w:spacing w:before="0" w:beforeAutospacing="0" w:after="0" w:afterAutospacing="0"/>
        <w:ind w:firstLine="709"/>
        <w:jc w:val="both"/>
        <w:rPr>
          <w:sz w:val="28"/>
          <w:szCs w:val="28"/>
          <w:lang w:val="uk-UA"/>
        </w:rPr>
      </w:pPr>
      <w:r w:rsidRPr="00836FEE">
        <w:rPr>
          <w:sz w:val="28"/>
          <w:szCs w:val="28"/>
          <w:lang w:val="uk-UA"/>
        </w:rPr>
        <w:t>Законом України «Про визнання таким, що втратив чинність, Закону України «Про перелік права державної власності, що не підлягають приватизації» установлено, що у справах про банкрутство державних підприємств, у тому числі казенних підприємств, або акціонерних товариств, у статутному капіталі яких частка державної власності перевищує 50 відсотків, не застосовуються</w:t>
      </w:r>
      <w:r>
        <w:rPr>
          <w:sz w:val="28"/>
          <w:szCs w:val="28"/>
          <w:lang w:val="uk-UA"/>
        </w:rPr>
        <w:t xml:space="preserve"> </w:t>
      </w:r>
      <w:r w:rsidRPr="00836FEE">
        <w:rPr>
          <w:sz w:val="28"/>
          <w:szCs w:val="28"/>
          <w:lang w:val="uk-UA"/>
        </w:rPr>
        <w:t xml:space="preserve">судова процедура санації, крім тих, що задіяні у виконанні державного оборонного замовлення, виробництві, розробленні, модернізації, ремонті, обслуговуванні озброєння та військової техніки, та судова процедура ліквідації, крім тих, що ліквідуються за рішенням власника протягом трьох років з дня набрання чинності цим Законом. </w:t>
      </w:r>
      <w:bookmarkStart w:id="1" w:name="n22"/>
      <w:bookmarkEnd w:id="1"/>
      <w:r w:rsidRPr="00836FEE">
        <w:rPr>
          <w:sz w:val="28"/>
          <w:szCs w:val="28"/>
          <w:lang w:val="uk-UA"/>
        </w:rPr>
        <w:t>Під час процедури санації нерухоме майно таких підприємств може бути відчужене лише у випадках, передбачених планом санації, погодженим з органом (суб’єктом), уповноваженим управляти державним майном.</w:t>
      </w:r>
    </w:p>
    <w:p w:rsidR="002743BF" w:rsidRDefault="002743BF" w:rsidP="002743BF">
      <w:pPr>
        <w:ind w:firstLine="851"/>
        <w:jc w:val="both"/>
        <w:rPr>
          <w:sz w:val="28"/>
          <w:szCs w:val="28"/>
        </w:rPr>
      </w:pPr>
      <w:r>
        <w:rPr>
          <w:sz w:val="28"/>
          <w:szCs w:val="28"/>
        </w:rPr>
        <w:t>Таким чином, Кодекс передбачає можливість введення процедури санації щодо підприємств ОПК (задіяних</w:t>
      </w:r>
      <w:r w:rsidRPr="00836FEE">
        <w:rPr>
          <w:sz w:val="28"/>
          <w:szCs w:val="28"/>
        </w:rPr>
        <w:t xml:space="preserve"> у виконанні державного оборонного замовлення, виробництві, розробленні, модернізації, ремонті, обслуговуванні озброєння та військової техніки</w:t>
      </w:r>
      <w:r>
        <w:rPr>
          <w:sz w:val="28"/>
          <w:szCs w:val="28"/>
        </w:rPr>
        <w:t>).</w:t>
      </w:r>
    </w:p>
    <w:p w:rsidR="002743BF" w:rsidRPr="000E4935" w:rsidRDefault="002743BF" w:rsidP="002743BF">
      <w:pPr>
        <w:ind w:firstLine="851"/>
        <w:jc w:val="both"/>
        <w:rPr>
          <w:sz w:val="28"/>
          <w:szCs w:val="28"/>
        </w:rPr>
      </w:pPr>
      <w:r>
        <w:rPr>
          <w:sz w:val="28"/>
          <w:szCs w:val="28"/>
        </w:rPr>
        <w:t xml:space="preserve">Водночас, відповідно до статей 49-50 Кодексу процедура санації вводиться господарським судом шляхом постановлення відповідної ухвали, якою одночасно має бути призначено </w:t>
      </w:r>
      <w:r w:rsidRPr="000E4935">
        <w:rPr>
          <w:sz w:val="28"/>
          <w:szCs w:val="28"/>
        </w:rPr>
        <w:t>керуючого санацією боржника з числа арбітражних керуючих.</w:t>
      </w:r>
      <w:r w:rsidRPr="00411D80">
        <w:rPr>
          <w:sz w:val="28"/>
          <w:szCs w:val="28"/>
        </w:rPr>
        <w:t xml:space="preserve"> </w:t>
      </w:r>
      <w:r w:rsidRPr="000E4935">
        <w:rPr>
          <w:sz w:val="28"/>
          <w:szCs w:val="28"/>
        </w:rPr>
        <w:t xml:space="preserve">Ухвала господарського суду про введення процедури санації та призначення керуючого санацією набирає законної сили з дня її постановлення, і з моменту її постановлення </w:t>
      </w:r>
      <w:bookmarkStart w:id="2" w:name="n794"/>
      <w:bookmarkStart w:id="3" w:name="n795"/>
      <w:bookmarkEnd w:id="2"/>
      <w:bookmarkEnd w:id="3"/>
      <w:r w:rsidRPr="000E4935">
        <w:rPr>
          <w:sz w:val="28"/>
          <w:szCs w:val="28"/>
        </w:rPr>
        <w:t>члени виконавчого органу (керівник) боржника звільняються з посади у порядку, визначеному законодавством.</w:t>
      </w:r>
    </w:p>
    <w:p w:rsidR="002743BF" w:rsidRDefault="002743BF" w:rsidP="002743BF">
      <w:pPr>
        <w:ind w:firstLine="851"/>
        <w:jc w:val="both"/>
        <w:rPr>
          <w:sz w:val="28"/>
          <w:szCs w:val="28"/>
        </w:rPr>
      </w:pPr>
      <w:r>
        <w:rPr>
          <w:sz w:val="28"/>
          <w:szCs w:val="28"/>
        </w:rPr>
        <w:t xml:space="preserve">Відповідно до статті 1 Кодексу, керуючий санацією – арбітражний керуючий, </w:t>
      </w:r>
      <w:r w:rsidRPr="00A11394">
        <w:rPr>
          <w:sz w:val="28"/>
          <w:szCs w:val="28"/>
        </w:rPr>
        <w:t>а у випадках, передбачених Кодексом, - керівник боржника, призначений господарським судом для здійсн</w:t>
      </w:r>
      <w:r>
        <w:rPr>
          <w:sz w:val="28"/>
          <w:szCs w:val="28"/>
        </w:rPr>
        <w:t>ення процедури санації боржника. Незважаючи на те, що Кодексом передбачена можливість здійснення процедури санації керівником боржника, норми Кодексу не передбачають випадків проведення санації керівником боржника.</w:t>
      </w:r>
    </w:p>
    <w:p w:rsidR="002743BF" w:rsidRPr="00411D80" w:rsidRDefault="002743BF" w:rsidP="002743BF">
      <w:pPr>
        <w:ind w:firstLine="851"/>
        <w:jc w:val="both"/>
        <w:rPr>
          <w:sz w:val="28"/>
          <w:szCs w:val="28"/>
        </w:rPr>
      </w:pPr>
      <w:r>
        <w:rPr>
          <w:sz w:val="28"/>
          <w:szCs w:val="28"/>
        </w:rPr>
        <w:t>Таким чином, відповідно до Кодексу, з моменту введення процедури санації управління підприємством – боржником повністю (у т.ч. і в частині здійснення поточної (оперативної) діяльності) переходить від керівника (директора) до керуючого санацією.</w:t>
      </w:r>
    </w:p>
    <w:p w:rsidR="002743BF" w:rsidRDefault="002743BF" w:rsidP="002743BF">
      <w:pPr>
        <w:ind w:firstLine="851"/>
        <w:jc w:val="both"/>
        <w:rPr>
          <w:sz w:val="28"/>
          <w:szCs w:val="28"/>
        </w:rPr>
      </w:pPr>
      <w:r>
        <w:rPr>
          <w:sz w:val="28"/>
          <w:szCs w:val="28"/>
        </w:rPr>
        <w:t>Частиною першою статті 11 Кодексу встановлені вимоги до арбітражних керуючих. Так, а</w:t>
      </w:r>
      <w:r w:rsidRPr="00A93107">
        <w:rPr>
          <w:sz w:val="28"/>
          <w:szCs w:val="28"/>
        </w:rPr>
        <w:t xml:space="preserve">рбітражним керуючим може бути громадянин України, який має вищу юридичну або економічну освіту другого (магістерського) рівня, загальний </w:t>
      </w:r>
      <w:r w:rsidRPr="00A93107">
        <w:rPr>
          <w:sz w:val="28"/>
          <w:szCs w:val="28"/>
        </w:rPr>
        <w:lastRenderedPageBreak/>
        <w:t>стаж роботи за фахом не менше трьох років або не менше одного року після отримання відповідної вищої освіти на керівних посадах, пройшов навчання та стажування протягом шести місяців у порядку, встановленому державним органом з питань банкрутства, володіє державною мовою та склав кваліфікаційний іспит.</w:t>
      </w:r>
    </w:p>
    <w:p w:rsidR="002743BF" w:rsidRDefault="002743BF" w:rsidP="002743BF">
      <w:pPr>
        <w:ind w:firstLine="851"/>
        <w:jc w:val="both"/>
        <w:rPr>
          <w:sz w:val="28"/>
          <w:szCs w:val="28"/>
        </w:rPr>
      </w:pPr>
      <w:r>
        <w:rPr>
          <w:sz w:val="28"/>
          <w:szCs w:val="28"/>
        </w:rPr>
        <w:t xml:space="preserve">Тобто законодавство не містить вимог щодо наявності спеціальних знань та досвіду в специфічних галузях промисловості. В переважній більшості арбітражні керуючі не володіють ані спеціальними знаннями щодо технологій виробництва, ремонту та модернізації озброєння та військової техніки, ані науковими знаннями, необхідними для управління підприємствами, які здійснюють науково-дослідні роботи. </w:t>
      </w:r>
      <w:r w:rsidRPr="00C67166">
        <w:rPr>
          <w:sz w:val="28"/>
          <w:szCs w:val="28"/>
        </w:rPr>
        <w:t>За таких обставин, ефективність у відновленні платоспроможності таких юридичних осіб значно знижується.</w:t>
      </w:r>
    </w:p>
    <w:p w:rsidR="002743BF" w:rsidRDefault="002743BF" w:rsidP="002743BF">
      <w:pPr>
        <w:ind w:firstLine="851"/>
        <w:jc w:val="both"/>
        <w:rPr>
          <w:sz w:val="28"/>
          <w:szCs w:val="28"/>
        </w:rPr>
      </w:pPr>
      <w:r>
        <w:rPr>
          <w:sz w:val="28"/>
          <w:szCs w:val="28"/>
        </w:rPr>
        <w:t xml:space="preserve">Відсутність у керуючого санацією на підприємстві ОПК вказаних знань та досвіду у специфічних галузях промисловості може призвести до зриву строків виконання державних оборонних замовлень, контрактів з іноземними партнерами, а також до зриву строків поставки як нової, так і відремонтованої (модернізованої) продукції військового призначення військовим формуванням, зокрема, які задіяні в операції об’єднаних сил. </w:t>
      </w:r>
    </w:p>
    <w:p w:rsidR="002743BF" w:rsidRDefault="002743BF" w:rsidP="002743BF">
      <w:pPr>
        <w:ind w:firstLine="851"/>
        <w:jc w:val="both"/>
        <w:rPr>
          <w:sz w:val="28"/>
          <w:szCs w:val="28"/>
        </w:rPr>
      </w:pPr>
      <w:r>
        <w:rPr>
          <w:sz w:val="28"/>
          <w:szCs w:val="28"/>
        </w:rPr>
        <w:t>Вказане не лише може призвести до погіршення фінансового стану підприємств ОПК у зв’язку із застосуванням до них штрафних санкцій, але і становитиме безпосередню загрозу для обороноздатності держави в умовах збройної агресії РФ.</w:t>
      </w:r>
    </w:p>
    <w:p w:rsidR="002743BF" w:rsidRDefault="002743BF" w:rsidP="002743BF">
      <w:pPr>
        <w:ind w:firstLine="851"/>
        <w:jc w:val="both"/>
        <w:rPr>
          <w:sz w:val="28"/>
          <w:szCs w:val="28"/>
        </w:rPr>
      </w:pPr>
      <w:r>
        <w:rPr>
          <w:sz w:val="28"/>
          <w:szCs w:val="28"/>
        </w:rPr>
        <w:t>Водночас, можливість призначення керуючим санацією боржника керівника, тобто особи, яка має відповідну технічну освіту, володіє знаннями технології виробництва підприємства, якій надано допуск до державної таємниці , дозволить уникнути складнощів в управлінні під час здійснення поточної господарської діяльності підприємства-боржника.</w:t>
      </w:r>
    </w:p>
    <w:p w:rsidR="002743BF" w:rsidRDefault="002743BF" w:rsidP="002743BF">
      <w:pPr>
        <w:ind w:firstLine="851"/>
        <w:jc w:val="both"/>
        <w:rPr>
          <w:sz w:val="28"/>
          <w:szCs w:val="28"/>
        </w:rPr>
      </w:pPr>
      <w:r w:rsidRPr="00C67166">
        <w:rPr>
          <w:sz w:val="28"/>
          <w:szCs w:val="28"/>
        </w:rPr>
        <w:t>З огляду на це, проєктом Закону пропонується включити до Кодексу норми щодо проведення санації керівником боржника, що дозволить врахувати всі аспекти ви</w:t>
      </w:r>
      <w:r>
        <w:rPr>
          <w:sz w:val="28"/>
          <w:szCs w:val="28"/>
        </w:rPr>
        <w:t xml:space="preserve">робничої діяльності боржника та </w:t>
      </w:r>
      <w:r w:rsidRPr="00C67166">
        <w:rPr>
          <w:sz w:val="28"/>
          <w:szCs w:val="28"/>
        </w:rPr>
        <w:t xml:space="preserve">використати всі можливі заходи з відновлення його платоспроможності </w:t>
      </w:r>
      <w:r>
        <w:rPr>
          <w:sz w:val="28"/>
          <w:szCs w:val="28"/>
        </w:rPr>
        <w:t>шляхом введення</w:t>
      </w:r>
      <w:r w:rsidRPr="00C67166">
        <w:rPr>
          <w:sz w:val="28"/>
          <w:szCs w:val="28"/>
        </w:rPr>
        <w:t xml:space="preserve"> процедур</w:t>
      </w:r>
      <w:r>
        <w:rPr>
          <w:sz w:val="28"/>
          <w:szCs w:val="28"/>
        </w:rPr>
        <w:t>и</w:t>
      </w:r>
      <w:r w:rsidRPr="00C67166">
        <w:rPr>
          <w:sz w:val="28"/>
          <w:szCs w:val="28"/>
        </w:rPr>
        <w:t xml:space="preserve"> санації</w:t>
      </w:r>
      <w:r>
        <w:rPr>
          <w:sz w:val="28"/>
          <w:szCs w:val="28"/>
        </w:rPr>
        <w:t>, з одночасним додержанням інтересів національної безпеки та забезпечення обороноздатності держави</w:t>
      </w:r>
      <w:r w:rsidRPr="00C67166">
        <w:rPr>
          <w:sz w:val="28"/>
          <w:szCs w:val="28"/>
        </w:rPr>
        <w:t xml:space="preserve">. </w:t>
      </w:r>
      <w:r>
        <w:rPr>
          <w:sz w:val="28"/>
          <w:szCs w:val="28"/>
        </w:rPr>
        <w:t xml:space="preserve">Крім того, </w:t>
      </w:r>
      <w:r w:rsidRPr="00C67166">
        <w:rPr>
          <w:sz w:val="28"/>
          <w:szCs w:val="28"/>
        </w:rPr>
        <w:t xml:space="preserve">проведення санації підприємства </w:t>
      </w:r>
      <w:r>
        <w:rPr>
          <w:sz w:val="28"/>
          <w:szCs w:val="28"/>
        </w:rPr>
        <w:t xml:space="preserve">його керівником </w:t>
      </w:r>
      <w:r w:rsidRPr="00C67166">
        <w:rPr>
          <w:sz w:val="28"/>
          <w:szCs w:val="28"/>
        </w:rPr>
        <w:t>значно мінімізує строк, необхідний для проведення аналізу напрямків діяльності боржника, що своєю чергою призведе до скорочення строків розрахунку боржника з кредиторами та процедури санації.</w:t>
      </w:r>
    </w:p>
    <w:p w:rsidR="00D12BB5" w:rsidRDefault="00D12BB5" w:rsidP="002743BF">
      <w:pPr>
        <w:ind w:firstLine="851"/>
        <w:jc w:val="both"/>
        <w:rPr>
          <w:sz w:val="28"/>
          <w:szCs w:val="28"/>
        </w:rPr>
      </w:pPr>
    </w:p>
    <w:p w:rsidR="00D12BB5" w:rsidRPr="005C60F2" w:rsidRDefault="00D12BB5" w:rsidP="00D12BB5">
      <w:pPr>
        <w:numPr>
          <w:ilvl w:val="0"/>
          <w:numId w:val="10"/>
        </w:numPr>
        <w:tabs>
          <w:tab w:val="left" w:pos="1134"/>
        </w:tabs>
        <w:spacing w:after="120"/>
        <w:jc w:val="both"/>
        <w:rPr>
          <w:b/>
          <w:sz w:val="28"/>
          <w:szCs w:val="28"/>
        </w:rPr>
      </w:pPr>
      <w:r w:rsidRPr="005A6A4E">
        <w:rPr>
          <w:b/>
          <w:sz w:val="28"/>
          <w:szCs w:val="28"/>
        </w:rPr>
        <w:t>Цілі та основні завдання прийняття законопроекту  </w:t>
      </w:r>
    </w:p>
    <w:p w:rsidR="00D12BB5" w:rsidRPr="005C60F2" w:rsidRDefault="00D12BB5" w:rsidP="005C60F2">
      <w:pPr>
        <w:ind w:firstLine="709"/>
        <w:jc w:val="both"/>
        <w:rPr>
          <w:bCs/>
          <w:color w:val="000000"/>
          <w:sz w:val="28"/>
          <w:szCs w:val="28"/>
        </w:rPr>
      </w:pPr>
      <w:r>
        <w:rPr>
          <w:sz w:val="28"/>
          <w:szCs w:val="28"/>
        </w:rPr>
        <w:t>Проєкт акта має на меті забезпечення належної керованості державних підприємств та акціонерних товариств оборонно-промислового комплексу (далі – ОПК),</w:t>
      </w:r>
      <w:r w:rsidRPr="008D5A6F">
        <w:rPr>
          <w:sz w:val="28"/>
          <w:szCs w:val="28"/>
        </w:rPr>
        <w:t xml:space="preserve"> у статутному капіталі яких розмір корпоративних прав держави </w:t>
      </w:r>
      <w:r w:rsidRPr="008D5A6F">
        <w:rPr>
          <w:sz w:val="28"/>
          <w:szCs w:val="28"/>
        </w:rPr>
        <w:lastRenderedPageBreak/>
        <w:t>перевищує 50 відсотків</w:t>
      </w:r>
      <w:r w:rsidRPr="008D5A6F">
        <w:rPr>
          <w:bCs/>
          <w:color w:val="000000"/>
          <w:sz w:val="28"/>
          <w:szCs w:val="28"/>
        </w:rPr>
        <w:t xml:space="preserve"> та повноваження з управління корпоративними правами держави щодо яких здійснює Державний концерн «Укроборонпром»</w:t>
      </w:r>
      <w:r>
        <w:rPr>
          <w:bCs/>
          <w:color w:val="000000"/>
          <w:sz w:val="28"/>
          <w:szCs w:val="28"/>
        </w:rPr>
        <w:t xml:space="preserve"> </w:t>
      </w:r>
      <w:r>
        <w:rPr>
          <w:sz w:val="28"/>
          <w:szCs w:val="28"/>
        </w:rPr>
        <w:t>(далі – Концерн, ДК «Укроборонпром»)</w:t>
      </w:r>
      <w:r w:rsidR="005C60F2" w:rsidRPr="005C60F2">
        <w:rPr>
          <w:bCs/>
          <w:color w:val="000000"/>
          <w:sz w:val="28"/>
          <w:szCs w:val="28"/>
        </w:rPr>
        <w:t>.</w:t>
      </w:r>
    </w:p>
    <w:p w:rsidR="002743BF" w:rsidRPr="00C67166" w:rsidRDefault="002743BF" w:rsidP="002743BF">
      <w:pPr>
        <w:ind w:firstLine="851"/>
        <w:jc w:val="both"/>
        <w:rPr>
          <w:sz w:val="28"/>
          <w:szCs w:val="28"/>
        </w:rPr>
      </w:pPr>
    </w:p>
    <w:p w:rsidR="002743BF" w:rsidRPr="005A408E" w:rsidRDefault="00D12BB5" w:rsidP="005C60F2">
      <w:pPr>
        <w:tabs>
          <w:tab w:val="left" w:pos="1134"/>
        </w:tabs>
        <w:spacing w:after="120"/>
        <w:ind w:firstLine="709"/>
        <w:jc w:val="both"/>
        <w:rPr>
          <w:b/>
          <w:sz w:val="28"/>
          <w:szCs w:val="28"/>
        </w:rPr>
      </w:pPr>
      <w:r w:rsidRPr="005A6A4E">
        <w:rPr>
          <w:b/>
          <w:sz w:val="28"/>
          <w:szCs w:val="28"/>
        </w:rPr>
        <w:t>3. </w:t>
      </w:r>
      <w:r w:rsidRPr="005A6A4E">
        <w:rPr>
          <w:b/>
          <w:sz w:val="28"/>
          <w:szCs w:val="28"/>
        </w:rPr>
        <w:tab/>
        <w:t>Загальна характеристика та основні положення законопроекту</w:t>
      </w:r>
    </w:p>
    <w:p w:rsidR="002743BF" w:rsidRDefault="002743BF" w:rsidP="002743BF">
      <w:pPr>
        <w:pStyle w:val="a5"/>
        <w:ind w:firstLine="851"/>
        <w:jc w:val="both"/>
        <w:rPr>
          <w:sz w:val="28"/>
          <w:szCs w:val="28"/>
          <w:lang w:val="uk-UA"/>
        </w:rPr>
      </w:pPr>
      <w:r>
        <w:rPr>
          <w:sz w:val="28"/>
          <w:szCs w:val="28"/>
          <w:lang w:val="uk-UA"/>
        </w:rPr>
        <w:t>Проєктом акта п</w:t>
      </w:r>
      <w:r w:rsidRPr="00C67166">
        <w:rPr>
          <w:sz w:val="28"/>
          <w:szCs w:val="28"/>
          <w:lang w:val="uk-UA"/>
        </w:rPr>
        <w:t xml:space="preserve">ропонується доповнити Кодекс </w:t>
      </w:r>
      <w:r w:rsidRPr="00AB3C84">
        <w:rPr>
          <w:sz w:val="28"/>
          <w:szCs w:val="28"/>
          <w:lang w:val="uk-UA"/>
        </w:rPr>
        <w:t>новою статтею 96</w:t>
      </w:r>
      <w:r w:rsidRPr="00AB3C84">
        <w:rPr>
          <w:sz w:val="28"/>
          <w:szCs w:val="28"/>
          <w:vertAlign w:val="superscript"/>
          <w:lang w:val="uk-UA"/>
        </w:rPr>
        <w:t>1</w:t>
      </w:r>
      <w:r w:rsidRPr="00AB3C84">
        <w:rPr>
          <w:sz w:val="28"/>
          <w:szCs w:val="28"/>
          <w:lang w:val="uk-UA"/>
        </w:rPr>
        <w:t xml:space="preserve">, яка </w:t>
      </w:r>
      <w:r>
        <w:rPr>
          <w:sz w:val="28"/>
          <w:szCs w:val="28"/>
          <w:lang w:val="uk-UA"/>
        </w:rPr>
        <w:t>визначає</w:t>
      </w:r>
      <w:r w:rsidRPr="00AB3C84">
        <w:rPr>
          <w:sz w:val="28"/>
          <w:szCs w:val="28"/>
          <w:lang w:val="uk-UA"/>
        </w:rPr>
        <w:t xml:space="preserve"> особливості провадження санації підприємств ОПК</w:t>
      </w:r>
      <w:r>
        <w:rPr>
          <w:sz w:val="28"/>
          <w:szCs w:val="28"/>
          <w:lang w:val="uk-UA"/>
        </w:rPr>
        <w:t xml:space="preserve">. </w:t>
      </w:r>
    </w:p>
    <w:p w:rsidR="002743BF" w:rsidRDefault="002743BF" w:rsidP="002743BF">
      <w:pPr>
        <w:pStyle w:val="a5"/>
        <w:ind w:firstLine="851"/>
        <w:jc w:val="both"/>
        <w:rPr>
          <w:sz w:val="28"/>
          <w:szCs w:val="28"/>
          <w:lang w:val="uk-UA"/>
        </w:rPr>
      </w:pPr>
      <w:r>
        <w:rPr>
          <w:sz w:val="28"/>
          <w:szCs w:val="28"/>
          <w:lang w:val="uk-UA"/>
        </w:rPr>
        <w:t>По суті такою особливістю є провадження санації підприємств ОПК його керівниками. У зв’язку з цим пропонується внесення зміни до частини другої статті 50 Кодексу.</w:t>
      </w:r>
    </w:p>
    <w:p w:rsidR="002743BF" w:rsidRDefault="002743BF" w:rsidP="002743BF">
      <w:pPr>
        <w:pStyle w:val="a5"/>
        <w:ind w:firstLine="851"/>
        <w:jc w:val="both"/>
        <w:rPr>
          <w:sz w:val="28"/>
          <w:szCs w:val="28"/>
          <w:lang w:val="uk-UA"/>
        </w:rPr>
      </w:pPr>
      <w:r>
        <w:rPr>
          <w:sz w:val="28"/>
          <w:szCs w:val="28"/>
          <w:lang w:val="uk-UA"/>
        </w:rPr>
        <w:t xml:space="preserve">Так, </w:t>
      </w:r>
      <w:r w:rsidRPr="008A27C5">
        <w:rPr>
          <w:sz w:val="28"/>
          <w:szCs w:val="28"/>
          <w:lang w:val="uk-UA"/>
        </w:rPr>
        <w:t xml:space="preserve">проєктом акта передбачається визначення поняття підприємств ОПК як </w:t>
      </w:r>
      <w:r w:rsidRPr="008A27C5">
        <w:rPr>
          <w:bCs/>
          <w:color w:val="000000"/>
          <w:sz w:val="28"/>
          <w:szCs w:val="28"/>
          <w:lang w:val="uk-UA"/>
        </w:rPr>
        <w:t xml:space="preserve">державних підприємств, що входять до складу </w:t>
      </w:r>
      <w:r>
        <w:rPr>
          <w:bCs/>
          <w:color w:val="000000"/>
          <w:sz w:val="28"/>
          <w:szCs w:val="28"/>
          <w:lang w:val="uk-UA"/>
        </w:rPr>
        <w:t>К</w:t>
      </w:r>
      <w:r w:rsidRPr="008A27C5">
        <w:rPr>
          <w:bCs/>
          <w:color w:val="000000"/>
          <w:sz w:val="28"/>
          <w:szCs w:val="28"/>
          <w:lang w:val="uk-UA"/>
        </w:rPr>
        <w:t xml:space="preserve">онцерну, та акціонерних товариств, </w:t>
      </w:r>
      <w:r w:rsidRPr="008A27C5">
        <w:rPr>
          <w:sz w:val="28"/>
          <w:szCs w:val="28"/>
          <w:lang w:val="uk-UA"/>
        </w:rPr>
        <w:t>у статутному капіталі яких розмір корпоративних прав держави перевищує 50 відсотків</w:t>
      </w:r>
      <w:r w:rsidRPr="008A27C5">
        <w:rPr>
          <w:bCs/>
          <w:color w:val="000000"/>
          <w:sz w:val="28"/>
          <w:szCs w:val="28"/>
          <w:lang w:val="uk-UA"/>
        </w:rPr>
        <w:t xml:space="preserve"> та повноваження з управління корпоративними правами держави щодо яких здійснює </w:t>
      </w:r>
      <w:r>
        <w:rPr>
          <w:bCs/>
          <w:color w:val="000000"/>
          <w:sz w:val="28"/>
          <w:szCs w:val="28"/>
          <w:lang w:val="uk-UA"/>
        </w:rPr>
        <w:t>К</w:t>
      </w:r>
      <w:r w:rsidRPr="008A27C5">
        <w:rPr>
          <w:bCs/>
          <w:color w:val="000000"/>
          <w:sz w:val="28"/>
          <w:szCs w:val="28"/>
          <w:lang w:val="uk-UA"/>
        </w:rPr>
        <w:t>онцерн</w:t>
      </w:r>
      <w:r>
        <w:rPr>
          <w:bCs/>
          <w:color w:val="000000"/>
          <w:sz w:val="28"/>
          <w:szCs w:val="28"/>
          <w:lang w:val="uk-UA"/>
        </w:rPr>
        <w:t xml:space="preserve">. </w:t>
      </w:r>
    </w:p>
    <w:p w:rsidR="002743BF" w:rsidRDefault="002743BF" w:rsidP="002743BF">
      <w:pPr>
        <w:pStyle w:val="a5"/>
        <w:ind w:firstLine="851"/>
        <w:jc w:val="both"/>
        <w:rPr>
          <w:sz w:val="28"/>
          <w:szCs w:val="28"/>
          <w:lang w:val="uk-UA"/>
        </w:rPr>
      </w:pPr>
      <w:r>
        <w:rPr>
          <w:sz w:val="28"/>
          <w:szCs w:val="28"/>
          <w:lang w:val="uk-UA"/>
        </w:rPr>
        <w:t xml:space="preserve">Відповідно до положень проєкту акта, </w:t>
      </w:r>
      <w:r w:rsidRPr="00AB3C84">
        <w:rPr>
          <w:sz w:val="28"/>
          <w:szCs w:val="28"/>
          <w:lang w:val="uk-UA"/>
        </w:rPr>
        <w:t>відкриття провадження у справі про банкрутство та введення процедури санації керівником здійснюється за заявою керівника, до якої додається письмова згода Концерну та проєкт плану санації</w:t>
      </w:r>
      <w:r>
        <w:rPr>
          <w:sz w:val="28"/>
          <w:szCs w:val="28"/>
          <w:lang w:val="uk-UA"/>
        </w:rPr>
        <w:t xml:space="preserve">. </w:t>
      </w:r>
    </w:p>
    <w:p w:rsidR="002743BF" w:rsidRDefault="002743BF" w:rsidP="002743BF">
      <w:pPr>
        <w:pStyle w:val="a5"/>
        <w:ind w:firstLine="851"/>
        <w:jc w:val="both"/>
        <w:rPr>
          <w:bCs/>
          <w:color w:val="000000"/>
          <w:sz w:val="28"/>
          <w:szCs w:val="28"/>
          <w:lang w:val="uk-UA"/>
        </w:rPr>
      </w:pPr>
      <w:r>
        <w:rPr>
          <w:sz w:val="28"/>
          <w:szCs w:val="28"/>
          <w:lang w:val="uk-UA"/>
        </w:rPr>
        <w:t>П</w:t>
      </w:r>
      <w:r w:rsidRPr="00AB3C84">
        <w:rPr>
          <w:bCs/>
          <w:color w:val="000000"/>
          <w:sz w:val="28"/>
          <w:szCs w:val="28"/>
          <w:lang w:val="uk-UA"/>
        </w:rPr>
        <w:t>ісля розгляду заяви боржника у разі, якщо заява і додані до неї документи відповідають установленим вимогам, суд не пізніше п’яти днів з дня її надходження постановляє ухвалу про прийняття заяви про відкриття провадження у справі, в якій зазначається дата проведення підготовчого засідання суду</w:t>
      </w:r>
      <w:r>
        <w:rPr>
          <w:bCs/>
          <w:color w:val="000000"/>
          <w:sz w:val="28"/>
          <w:szCs w:val="28"/>
          <w:lang w:val="uk-UA"/>
        </w:rPr>
        <w:t xml:space="preserve">. </w:t>
      </w:r>
    </w:p>
    <w:p w:rsidR="002743BF" w:rsidRPr="00AD1D52" w:rsidRDefault="002743BF" w:rsidP="002743BF">
      <w:pPr>
        <w:pStyle w:val="a5"/>
        <w:ind w:firstLine="851"/>
        <w:jc w:val="both"/>
        <w:rPr>
          <w:bCs/>
          <w:color w:val="000000"/>
          <w:sz w:val="28"/>
          <w:szCs w:val="28"/>
          <w:lang w:val="uk-UA"/>
        </w:rPr>
      </w:pPr>
      <w:r>
        <w:rPr>
          <w:bCs/>
          <w:color w:val="000000"/>
          <w:sz w:val="28"/>
          <w:szCs w:val="28"/>
          <w:lang w:val="uk-UA"/>
        </w:rPr>
        <w:t>З</w:t>
      </w:r>
      <w:r w:rsidRPr="00AB3C84">
        <w:rPr>
          <w:bCs/>
          <w:color w:val="000000"/>
          <w:sz w:val="28"/>
          <w:szCs w:val="28"/>
          <w:lang w:val="uk-UA"/>
        </w:rPr>
        <w:t>а результатами розгляду обґрунтованос</w:t>
      </w:r>
      <w:r w:rsidR="00D12BB5">
        <w:rPr>
          <w:bCs/>
          <w:color w:val="000000"/>
          <w:sz w:val="28"/>
          <w:szCs w:val="28"/>
          <w:lang w:val="uk-UA"/>
        </w:rPr>
        <w:t>ті</w:t>
      </w:r>
      <w:r w:rsidRPr="00AB3C84">
        <w:rPr>
          <w:bCs/>
          <w:color w:val="000000"/>
          <w:sz w:val="28"/>
          <w:szCs w:val="28"/>
          <w:lang w:val="uk-UA"/>
        </w:rPr>
        <w:t xml:space="preserve"> заяви про відкриття провадження у справі про банкрутство з метою проведення керівником процедури санації господарс</w:t>
      </w:r>
      <w:r w:rsidRPr="00AB3C84">
        <w:rPr>
          <w:bCs/>
          <w:color w:val="000000"/>
          <w:sz w:val="28"/>
          <w:szCs w:val="28"/>
        </w:rPr>
        <w:t xml:space="preserve">ький суд постановляє ухвалу про </w:t>
      </w:r>
      <w:r w:rsidRPr="00AB3C84">
        <w:rPr>
          <w:bCs/>
          <w:color w:val="000000"/>
          <w:sz w:val="28"/>
          <w:szCs w:val="28"/>
          <w:lang w:val="uk-UA"/>
        </w:rPr>
        <w:t>відкриття провадження у справі про банкрутство і введення процедури санації, введення мораторію на задоволення вимог кредиторів та призначення розпорядника майна в порядку, встановленому Кодексом, та керуючого</w:t>
      </w:r>
      <w:r>
        <w:rPr>
          <w:bCs/>
          <w:color w:val="000000"/>
          <w:sz w:val="28"/>
          <w:szCs w:val="28"/>
          <w:lang w:val="uk-UA"/>
        </w:rPr>
        <w:t xml:space="preserve"> санацією-керівника боржника</w:t>
      </w:r>
      <w:r w:rsidRPr="00AB3C84">
        <w:rPr>
          <w:bCs/>
          <w:color w:val="000000"/>
          <w:sz w:val="28"/>
          <w:szCs w:val="28"/>
        </w:rPr>
        <w:t xml:space="preserve">, </w:t>
      </w:r>
      <w:r w:rsidRPr="00AD1D52">
        <w:rPr>
          <w:bCs/>
          <w:color w:val="000000"/>
          <w:sz w:val="28"/>
          <w:szCs w:val="28"/>
          <w:lang w:val="uk-UA"/>
        </w:rPr>
        <w:t>або про відмову у відкритті провадження у справі про банкрутство.</w:t>
      </w:r>
    </w:p>
    <w:p w:rsidR="002743BF" w:rsidRDefault="002743BF" w:rsidP="002743BF">
      <w:pPr>
        <w:pStyle w:val="a5"/>
        <w:ind w:firstLine="851"/>
        <w:jc w:val="both"/>
        <w:rPr>
          <w:sz w:val="28"/>
          <w:szCs w:val="28"/>
          <w:lang w:val="uk-UA"/>
        </w:rPr>
      </w:pPr>
      <w:r>
        <w:rPr>
          <w:bCs/>
          <w:color w:val="000000"/>
          <w:sz w:val="28"/>
          <w:szCs w:val="28"/>
          <w:lang w:val="uk-UA"/>
        </w:rPr>
        <w:t>У</w:t>
      </w:r>
      <w:r w:rsidRPr="00AB3C84">
        <w:rPr>
          <w:bCs/>
          <w:color w:val="000000"/>
          <w:sz w:val="28"/>
          <w:szCs w:val="28"/>
          <w:lang w:val="uk-UA"/>
        </w:rPr>
        <w:t xml:space="preserve"> разі постановлення господарським судом ухвали про відкриття провадження у справі про банкрутство за заявою керівника підприємства </w:t>
      </w:r>
      <w:r>
        <w:rPr>
          <w:bCs/>
          <w:color w:val="000000"/>
          <w:sz w:val="28"/>
          <w:szCs w:val="28"/>
        </w:rPr>
        <w:t>ОПК</w:t>
      </w:r>
      <w:r w:rsidRPr="00AB3C84">
        <w:rPr>
          <w:bCs/>
          <w:color w:val="000000"/>
          <w:sz w:val="28"/>
          <w:szCs w:val="28"/>
          <w:lang w:val="uk-UA"/>
        </w:rPr>
        <w:t xml:space="preserve"> </w:t>
      </w:r>
      <w:r>
        <w:rPr>
          <w:bCs/>
          <w:color w:val="000000"/>
          <w:sz w:val="28"/>
          <w:szCs w:val="28"/>
          <w:lang w:val="uk-UA"/>
        </w:rPr>
        <w:t>К</w:t>
      </w:r>
      <w:r w:rsidRPr="00AB3C84">
        <w:rPr>
          <w:bCs/>
          <w:color w:val="000000"/>
          <w:sz w:val="28"/>
          <w:szCs w:val="28"/>
          <w:lang w:val="uk-UA"/>
        </w:rPr>
        <w:t>онцерн відстороняє керівника такого підприємства, призначеного господарським судом керуючим санацією, від виконання повноважень керівника підприємства на час виконання ним повноважень керуючого санацією.</w:t>
      </w:r>
    </w:p>
    <w:p w:rsidR="002743BF" w:rsidRDefault="002743BF" w:rsidP="002743BF">
      <w:pPr>
        <w:pStyle w:val="a5"/>
        <w:ind w:firstLine="851"/>
        <w:jc w:val="both"/>
        <w:rPr>
          <w:bCs/>
          <w:color w:val="000000"/>
          <w:sz w:val="28"/>
          <w:szCs w:val="28"/>
          <w:lang w:val="uk-UA"/>
        </w:rPr>
      </w:pPr>
      <w:r>
        <w:rPr>
          <w:bCs/>
          <w:color w:val="000000"/>
          <w:sz w:val="28"/>
          <w:szCs w:val="28"/>
          <w:lang w:val="uk-UA"/>
        </w:rPr>
        <w:t>К</w:t>
      </w:r>
      <w:r w:rsidRPr="00AB3C84">
        <w:rPr>
          <w:bCs/>
          <w:color w:val="000000"/>
          <w:sz w:val="28"/>
          <w:szCs w:val="28"/>
          <w:lang w:val="uk-UA"/>
        </w:rPr>
        <w:t>онкурсні кредитори за вимогами, що виникли до дня відкриття провадження у справі про банкрутство, зобов’язані подати до господарського суду письмові заяви з вимогами до боржника, а також документи, що їх підтверджують</w:t>
      </w:r>
      <w:r>
        <w:rPr>
          <w:bCs/>
          <w:color w:val="000000"/>
          <w:sz w:val="28"/>
          <w:szCs w:val="28"/>
          <w:lang w:val="uk-UA"/>
        </w:rPr>
        <w:t>,</w:t>
      </w:r>
      <w:r w:rsidRPr="00AB3C84">
        <w:rPr>
          <w:bCs/>
          <w:color w:val="000000"/>
          <w:sz w:val="28"/>
          <w:szCs w:val="28"/>
          <w:lang w:val="uk-UA"/>
        </w:rPr>
        <w:t xml:space="preserve"> та/або заперечення кредиторів проти проведення процедури санації керівником боржника протягом 30 днів з дня офіційного оприлюднення оголошення про відкриття провадження у справі про банкрутство і введення процедури санації</w:t>
      </w:r>
      <w:r>
        <w:rPr>
          <w:bCs/>
          <w:color w:val="000000"/>
          <w:sz w:val="28"/>
          <w:szCs w:val="28"/>
          <w:lang w:val="uk-UA"/>
        </w:rPr>
        <w:t>.</w:t>
      </w:r>
    </w:p>
    <w:p w:rsidR="002743BF" w:rsidRDefault="002743BF" w:rsidP="002743BF">
      <w:pPr>
        <w:pStyle w:val="a5"/>
        <w:ind w:firstLine="851"/>
        <w:jc w:val="both"/>
        <w:rPr>
          <w:bCs/>
          <w:color w:val="000000"/>
          <w:sz w:val="28"/>
          <w:szCs w:val="28"/>
          <w:lang w:val="uk-UA"/>
        </w:rPr>
      </w:pPr>
      <w:r w:rsidRPr="00AB3C84">
        <w:rPr>
          <w:bCs/>
          <w:color w:val="000000"/>
          <w:sz w:val="28"/>
          <w:szCs w:val="28"/>
          <w:lang w:val="uk-UA"/>
        </w:rPr>
        <w:lastRenderedPageBreak/>
        <w:t>Керуючий санацією-керівник боржника разом із розпорядником майна зобов’язані розглянути вимоги кредиторів і скласти реєстр вимог кредиторів, про що письмово повідомити заявників і господарський суд, а також подати до суду письмовий звіт про надіслані всім кредиторам боржника повідомлення про результати розгляду грошових вимог та їх отримання кредиторами разом з копіями повідомлень про вручення поштового відправлення та описів вкладення у поштове відправлення або інших документів, що підтверджують надсилання повідомлення кредиторам.</w:t>
      </w:r>
    </w:p>
    <w:p w:rsidR="002743BF" w:rsidRDefault="002743BF" w:rsidP="002743BF">
      <w:pPr>
        <w:pStyle w:val="a5"/>
        <w:ind w:firstLine="851"/>
        <w:jc w:val="both"/>
        <w:rPr>
          <w:bCs/>
          <w:color w:val="000000"/>
          <w:sz w:val="28"/>
          <w:szCs w:val="28"/>
          <w:lang w:val="uk-UA"/>
        </w:rPr>
      </w:pPr>
      <w:r w:rsidRPr="00AB3C84">
        <w:rPr>
          <w:bCs/>
          <w:color w:val="000000"/>
          <w:sz w:val="28"/>
          <w:szCs w:val="28"/>
          <w:lang w:val="uk-UA"/>
        </w:rPr>
        <w:t>За результатами розгляду зазначених заяв господарський суд постановляє ухвалу про визнання чи відхилення (повністю або частково) вимог кредиторів, затвердження реєстру вимог кредиторів, в якій визначає дату проведення зборів кредиторів.</w:t>
      </w:r>
    </w:p>
    <w:p w:rsidR="002743BF" w:rsidRPr="003A3ECA" w:rsidRDefault="002743BF" w:rsidP="002743BF">
      <w:pPr>
        <w:ind w:firstLine="851"/>
        <w:jc w:val="both"/>
        <w:rPr>
          <w:bCs/>
          <w:color w:val="000000"/>
          <w:sz w:val="28"/>
          <w:szCs w:val="28"/>
        </w:rPr>
      </w:pPr>
      <w:r w:rsidRPr="003A3ECA">
        <w:rPr>
          <w:bCs/>
          <w:color w:val="000000"/>
          <w:sz w:val="28"/>
          <w:szCs w:val="28"/>
        </w:rPr>
        <w:t xml:space="preserve">Керуючий санацією подає на розгляд зборів кредиторів план санації, попередньо погоджений з </w:t>
      </w:r>
      <w:r>
        <w:rPr>
          <w:bCs/>
          <w:color w:val="000000"/>
          <w:sz w:val="28"/>
          <w:szCs w:val="28"/>
        </w:rPr>
        <w:t>К</w:t>
      </w:r>
      <w:r w:rsidRPr="003A3ECA">
        <w:rPr>
          <w:bCs/>
          <w:color w:val="000000"/>
          <w:sz w:val="28"/>
          <w:szCs w:val="28"/>
        </w:rPr>
        <w:t>онцерном. Збори кредиторів у місячний строк від дати їх утворення повинні схвалити план санації та подати його для затвердження до господарського суду.</w:t>
      </w:r>
    </w:p>
    <w:p w:rsidR="002743BF" w:rsidRPr="003A3ECA" w:rsidRDefault="002743BF" w:rsidP="002743BF">
      <w:pPr>
        <w:ind w:firstLine="851"/>
        <w:jc w:val="both"/>
        <w:rPr>
          <w:bCs/>
          <w:color w:val="000000"/>
          <w:sz w:val="28"/>
          <w:szCs w:val="28"/>
        </w:rPr>
      </w:pPr>
      <w:r w:rsidRPr="003A3ECA">
        <w:rPr>
          <w:bCs/>
          <w:color w:val="000000"/>
          <w:sz w:val="28"/>
          <w:szCs w:val="28"/>
        </w:rPr>
        <w:t>Господарський суд затверджує план санації боржника, про що постановляє ухвалу, яка може бути оскаржена у встановленому порядку. Боржник розпочинає виконання плану санації після його затвердження судом.</w:t>
      </w:r>
    </w:p>
    <w:p w:rsidR="002743BF" w:rsidRPr="003A3ECA" w:rsidRDefault="002743BF" w:rsidP="002743BF">
      <w:pPr>
        <w:ind w:firstLine="851"/>
        <w:jc w:val="both"/>
        <w:rPr>
          <w:bCs/>
          <w:color w:val="000000"/>
          <w:sz w:val="28"/>
          <w:szCs w:val="28"/>
        </w:rPr>
      </w:pPr>
      <w:r>
        <w:rPr>
          <w:bCs/>
          <w:color w:val="000000"/>
          <w:sz w:val="28"/>
          <w:szCs w:val="28"/>
        </w:rPr>
        <w:t>К</w:t>
      </w:r>
      <w:r w:rsidRPr="003A3ECA">
        <w:rPr>
          <w:bCs/>
          <w:color w:val="000000"/>
          <w:sz w:val="28"/>
          <w:szCs w:val="28"/>
        </w:rPr>
        <w:t>ерівник боржника виконує повноваження керуючого санацією і отримує заробітну плату в тому ж розмірі, в якому він її отримував до призначення керуючим санацією.</w:t>
      </w:r>
    </w:p>
    <w:p w:rsidR="002743BF" w:rsidRPr="003A3ECA" w:rsidRDefault="002743BF" w:rsidP="002743BF">
      <w:pPr>
        <w:ind w:firstLine="851"/>
        <w:jc w:val="both"/>
        <w:rPr>
          <w:bCs/>
          <w:color w:val="000000"/>
          <w:sz w:val="28"/>
          <w:szCs w:val="28"/>
        </w:rPr>
      </w:pPr>
      <w:r w:rsidRPr="003A3ECA">
        <w:rPr>
          <w:bCs/>
          <w:color w:val="000000"/>
          <w:sz w:val="28"/>
          <w:szCs w:val="28"/>
        </w:rPr>
        <w:t xml:space="preserve">За поданням </w:t>
      </w:r>
      <w:r>
        <w:rPr>
          <w:bCs/>
          <w:color w:val="000000"/>
          <w:sz w:val="28"/>
          <w:szCs w:val="28"/>
        </w:rPr>
        <w:t>К</w:t>
      </w:r>
      <w:r w:rsidRPr="003A3ECA">
        <w:rPr>
          <w:bCs/>
          <w:color w:val="000000"/>
          <w:sz w:val="28"/>
          <w:szCs w:val="28"/>
        </w:rPr>
        <w:t>онцерну чи за ініціативою господарського суду керуючий санацією-керівник боржника може бути відсторонений господарським судом від виконання ним своїх обов’язків.</w:t>
      </w:r>
    </w:p>
    <w:p w:rsidR="002743BF" w:rsidRPr="003A3ECA" w:rsidRDefault="002743BF" w:rsidP="002743BF">
      <w:pPr>
        <w:ind w:firstLine="851"/>
        <w:jc w:val="both"/>
        <w:rPr>
          <w:bCs/>
          <w:color w:val="000000"/>
          <w:sz w:val="28"/>
          <w:szCs w:val="28"/>
        </w:rPr>
      </w:pPr>
      <w:r w:rsidRPr="003A3ECA">
        <w:rPr>
          <w:bCs/>
          <w:color w:val="000000"/>
          <w:sz w:val="28"/>
          <w:szCs w:val="28"/>
        </w:rPr>
        <w:t xml:space="preserve">У разі прийняття господарським судом рішення про відсторонення  керуючого санацією-керівника боржника від виконання ним своїх обов’язків трудовий договір з таким керівником боржника припиняється, а керівник звільняється </w:t>
      </w:r>
      <w:r>
        <w:rPr>
          <w:bCs/>
          <w:color w:val="000000"/>
          <w:sz w:val="28"/>
          <w:szCs w:val="28"/>
        </w:rPr>
        <w:t>К</w:t>
      </w:r>
      <w:r w:rsidRPr="003A3ECA">
        <w:rPr>
          <w:bCs/>
          <w:color w:val="000000"/>
          <w:sz w:val="28"/>
          <w:szCs w:val="28"/>
        </w:rPr>
        <w:t>онцерном з підстав, передбачених Кодексом законів про працю України.</w:t>
      </w:r>
    </w:p>
    <w:p w:rsidR="002743BF" w:rsidRPr="003A3ECA" w:rsidRDefault="002743BF" w:rsidP="002743BF">
      <w:pPr>
        <w:ind w:firstLine="851"/>
        <w:jc w:val="both"/>
        <w:rPr>
          <w:bCs/>
          <w:color w:val="000000"/>
          <w:sz w:val="28"/>
          <w:szCs w:val="28"/>
        </w:rPr>
      </w:pPr>
      <w:r w:rsidRPr="003A3ECA">
        <w:rPr>
          <w:bCs/>
          <w:color w:val="000000"/>
          <w:sz w:val="28"/>
          <w:szCs w:val="28"/>
        </w:rPr>
        <w:t xml:space="preserve">У </w:t>
      </w:r>
      <w:r>
        <w:rPr>
          <w:bCs/>
          <w:color w:val="000000"/>
          <w:sz w:val="28"/>
          <w:szCs w:val="28"/>
        </w:rPr>
        <w:t xml:space="preserve">такому </w:t>
      </w:r>
      <w:r w:rsidRPr="003A3ECA">
        <w:rPr>
          <w:bCs/>
          <w:color w:val="000000"/>
          <w:sz w:val="28"/>
          <w:szCs w:val="28"/>
        </w:rPr>
        <w:t>випадку</w:t>
      </w:r>
      <w:r>
        <w:rPr>
          <w:bCs/>
          <w:color w:val="000000"/>
          <w:sz w:val="28"/>
          <w:szCs w:val="28"/>
        </w:rPr>
        <w:t xml:space="preserve"> </w:t>
      </w:r>
      <w:r w:rsidRPr="003A3ECA">
        <w:rPr>
          <w:bCs/>
          <w:color w:val="000000"/>
          <w:sz w:val="28"/>
          <w:szCs w:val="28"/>
        </w:rPr>
        <w:t xml:space="preserve">господарський суд за клопотанням </w:t>
      </w:r>
      <w:r>
        <w:rPr>
          <w:bCs/>
          <w:color w:val="000000"/>
          <w:sz w:val="28"/>
          <w:szCs w:val="28"/>
        </w:rPr>
        <w:t>К</w:t>
      </w:r>
      <w:r w:rsidRPr="003A3ECA">
        <w:rPr>
          <w:bCs/>
          <w:color w:val="000000"/>
          <w:sz w:val="28"/>
          <w:szCs w:val="28"/>
        </w:rPr>
        <w:t xml:space="preserve">онцерну постановляє ухвалу про призначення керуючим санацією новопризначеного </w:t>
      </w:r>
      <w:r>
        <w:rPr>
          <w:bCs/>
          <w:color w:val="000000"/>
          <w:sz w:val="28"/>
          <w:szCs w:val="28"/>
        </w:rPr>
        <w:t>К</w:t>
      </w:r>
      <w:r w:rsidRPr="003A3ECA">
        <w:rPr>
          <w:bCs/>
          <w:color w:val="000000"/>
          <w:sz w:val="28"/>
          <w:szCs w:val="28"/>
        </w:rPr>
        <w:t xml:space="preserve">онцерном керівника підприємства </w:t>
      </w:r>
      <w:r>
        <w:rPr>
          <w:bCs/>
          <w:color w:val="000000"/>
          <w:sz w:val="28"/>
          <w:szCs w:val="28"/>
        </w:rPr>
        <w:t>ОПК</w:t>
      </w:r>
      <w:r w:rsidRPr="003A3ECA">
        <w:rPr>
          <w:bCs/>
          <w:color w:val="000000"/>
          <w:sz w:val="28"/>
          <w:szCs w:val="28"/>
        </w:rPr>
        <w:t>.</w:t>
      </w:r>
    </w:p>
    <w:p w:rsidR="002743BF" w:rsidRPr="003A3ECA" w:rsidRDefault="002743BF" w:rsidP="002743BF">
      <w:pPr>
        <w:ind w:firstLine="851"/>
        <w:jc w:val="both"/>
        <w:rPr>
          <w:bCs/>
          <w:color w:val="000000"/>
          <w:sz w:val="28"/>
          <w:szCs w:val="28"/>
        </w:rPr>
      </w:pPr>
      <w:r w:rsidRPr="003A3ECA">
        <w:rPr>
          <w:bCs/>
          <w:color w:val="000000"/>
          <w:sz w:val="28"/>
          <w:szCs w:val="28"/>
        </w:rPr>
        <w:t>Розпорядник майна продовжує виконувати свої обов’язки протягом проведення керуючим санацією-керівником боржника процедури санації боржника.</w:t>
      </w:r>
    </w:p>
    <w:p w:rsidR="002743BF" w:rsidRPr="00C67166" w:rsidRDefault="002743BF" w:rsidP="005C60F2">
      <w:pPr>
        <w:pStyle w:val="a5"/>
        <w:ind w:firstLine="851"/>
        <w:jc w:val="both"/>
        <w:rPr>
          <w:sz w:val="28"/>
          <w:szCs w:val="28"/>
          <w:lang w:val="uk-UA"/>
        </w:rPr>
      </w:pPr>
      <w:r w:rsidRPr="003A3ECA">
        <w:rPr>
          <w:bCs/>
          <w:color w:val="000000"/>
          <w:sz w:val="28"/>
          <w:szCs w:val="28"/>
          <w:lang w:val="uk-UA"/>
        </w:rPr>
        <w:t xml:space="preserve">У разі невиконання плану санації боржника або наявності інших підстав, які свідчать про неможливість відновлення платоспроможності боржника, процедура банкрутства здійснюється відповідно до цього Кодексу, про що господарський суд </w:t>
      </w:r>
      <w:r w:rsidRPr="00EF2CD7">
        <w:rPr>
          <w:bCs/>
          <w:color w:val="000000"/>
          <w:sz w:val="28"/>
          <w:szCs w:val="28"/>
          <w:lang w:val="uk-UA"/>
        </w:rPr>
        <w:t>ухвалює постанову</w:t>
      </w:r>
      <w:r w:rsidRPr="003A3ECA">
        <w:rPr>
          <w:bCs/>
          <w:color w:val="000000"/>
          <w:sz w:val="28"/>
          <w:szCs w:val="28"/>
          <w:lang w:val="uk-UA"/>
        </w:rPr>
        <w:t>.</w:t>
      </w:r>
    </w:p>
    <w:p w:rsidR="002743BF" w:rsidRPr="00C67166" w:rsidRDefault="002743BF" w:rsidP="002743BF">
      <w:pPr>
        <w:pStyle w:val="a5"/>
        <w:ind w:firstLine="851"/>
        <w:jc w:val="both"/>
        <w:rPr>
          <w:sz w:val="28"/>
          <w:szCs w:val="28"/>
          <w:lang w:val="uk-UA"/>
        </w:rPr>
      </w:pPr>
    </w:p>
    <w:p w:rsidR="00D12BB5" w:rsidRPr="005A6A4E" w:rsidRDefault="00D12BB5" w:rsidP="00D12BB5">
      <w:pPr>
        <w:tabs>
          <w:tab w:val="left" w:pos="1134"/>
        </w:tabs>
        <w:spacing w:after="120"/>
        <w:ind w:firstLine="709"/>
        <w:jc w:val="both"/>
        <w:rPr>
          <w:b/>
          <w:sz w:val="28"/>
          <w:szCs w:val="28"/>
        </w:rPr>
      </w:pPr>
      <w:r w:rsidRPr="005A6A4E">
        <w:rPr>
          <w:b/>
          <w:sz w:val="28"/>
          <w:szCs w:val="28"/>
        </w:rPr>
        <w:t>4.</w:t>
      </w:r>
      <w:r w:rsidRPr="005A6A4E">
        <w:rPr>
          <w:b/>
          <w:sz w:val="28"/>
          <w:szCs w:val="28"/>
        </w:rPr>
        <w:tab/>
        <w:t>Стан нормативно-правової бази у даній сфері правового регулювання</w:t>
      </w:r>
    </w:p>
    <w:p w:rsidR="00D12BB5" w:rsidRPr="005A6A4E" w:rsidRDefault="00D12BB5" w:rsidP="00D12BB5">
      <w:pPr>
        <w:spacing w:after="120"/>
        <w:ind w:firstLine="709"/>
        <w:jc w:val="both"/>
        <w:rPr>
          <w:sz w:val="28"/>
          <w:szCs w:val="28"/>
        </w:rPr>
      </w:pPr>
      <w:r w:rsidRPr="005A6A4E">
        <w:rPr>
          <w:sz w:val="28"/>
          <w:szCs w:val="28"/>
        </w:rPr>
        <w:lastRenderedPageBreak/>
        <w:t xml:space="preserve">Відносини в даній сфері регулюються положеннями </w:t>
      </w:r>
      <w:r>
        <w:rPr>
          <w:sz w:val="28"/>
          <w:szCs w:val="28"/>
        </w:rPr>
        <w:t>Кодексу України з процедур банкрутства</w:t>
      </w:r>
      <w:r w:rsidRPr="005A6A4E">
        <w:rPr>
          <w:sz w:val="28"/>
          <w:szCs w:val="28"/>
        </w:rPr>
        <w:t>.</w:t>
      </w:r>
    </w:p>
    <w:p w:rsidR="00D12BB5" w:rsidRPr="005A6A4E" w:rsidRDefault="00D12BB5" w:rsidP="00D12BB5">
      <w:pPr>
        <w:spacing w:after="120"/>
        <w:ind w:firstLine="709"/>
        <w:jc w:val="both"/>
        <w:rPr>
          <w:sz w:val="28"/>
          <w:szCs w:val="28"/>
        </w:rPr>
      </w:pPr>
    </w:p>
    <w:p w:rsidR="00D12BB5" w:rsidRPr="005A6A4E" w:rsidRDefault="00D12BB5" w:rsidP="00D12BB5">
      <w:pPr>
        <w:tabs>
          <w:tab w:val="left" w:pos="1134"/>
        </w:tabs>
        <w:spacing w:after="120"/>
        <w:ind w:firstLine="709"/>
        <w:jc w:val="both"/>
        <w:rPr>
          <w:b/>
          <w:sz w:val="28"/>
          <w:szCs w:val="28"/>
        </w:rPr>
      </w:pPr>
      <w:r w:rsidRPr="005A6A4E">
        <w:rPr>
          <w:b/>
          <w:sz w:val="28"/>
          <w:szCs w:val="28"/>
        </w:rPr>
        <w:t>5.</w:t>
      </w:r>
      <w:r w:rsidRPr="005A6A4E">
        <w:rPr>
          <w:b/>
          <w:sz w:val="28"/>
          <w:szCs w:val="28"/>
        </w:rPr>
        <w:tab/>
        <w:t>Фінансово-економічне обґрунтування</w:t>
      </w:r>
    </w:p>
    <w:p w:rsidR="00D12BB5" w:rsidRPr="005A6A4E" w:rsidRDefault="00D12BB5" w:rsidP="00D12BB5">
      <w:pPr>
        <w:spacing w:after="120"/>
        <w:ind w:firstLine="709"/>
        <w:jc w:val="both"/>
        <w:rPr>
          <w:sz w:val="28"/>
          <w:szCs w:val="28"/>
        </w:rPr>
      </w:pPr>
      <w:r w:rsidRPr="005A6A4E">
        <w:rPr>
          <w:sz w:val="28"/>
          <w:szCs w:val="28"/>
        </w:rPr>
        <w:t>У разі прийняття законопроекту реалізація його положень не вплине на показники Державного бюджету України.</w:t>
      </w:r>
    </w:p>
    <w:p w:rsidR="00D12BB5" w:rsidRPr="005A6A4E" w:rsidRDefault="00D12BB5" w:rsidP="00D12BB5">
      <w:pPr>
        <w:spacing w:after="120"/>
        <w:ind w:firstLine="709"/>
        <w:jc w:val="both"/>
        <w:rPr>
          <w:sz w:val="28"/>
          <w:szCs w:val="28"/>
        </w:rPr>
      </w:pPr>
    </w:p>
    <w:p w:rsidR="00D12BB5" w:rsidRPr="005A6A4E" w:rsidRDefault="00D12BB5" w:rsidP="00D12BB5">
      <w:pPr>
        <w:tabs>
          <w:tab w:val="left" w:pos="1134"/>
        </w:tabs>
        <w:spacing w:after="120"/>
        <w:ind w:firstLine="709"/>
        <w:jc w:val="both"/>
        <w:rPr>
          <w:b/>
          <w:sz w:val="28"/>
          <w:szCs w:val="28"/>
        </w:rPr>
      </w:pPr>
      <w:r w:rsidRPr="005A6A4E">
        <w:rPr>
          <w:b/>
          <w:sz w:val="28"/>
          <w:szCs w:val="28"/>
        </w:rPr>
        <w:t>6.</w:t>
      </w:r>
      <w:r w:rsidRPr="005A6A4E">
        <w:rPr>
          <w:b/>
          <w:sz w:val="28"/>
          <w:szCs w:val="28"/>
        </w:rPr>
        <w:tab/>
        <w:t>Прогнозовані соціально-економічні та інші наслідки прийняття законопроекту</w:t>
      </w:r>
    </w:p>
    <w:p w:rsidR="00D12BB5" w:rsidRPr="00D12BB5" w:rsidRDefault="00D12BB5" w:rsidP="00D12BB5">
      <w:pPr>
        <w:spacing w:after="120"/>
        <w:ind w:firstLine="709"/>
        <w:jc w:val="both"/>
        <w:rPr>
          <w:sz w:val="28"/>
          <w:szCs w:val="28"/>
        </w:rPr>
      </w:pPr>
      <w:r w:rsidRPr="005A6A4E">
        <w:rPr>
          <w:sz w:val="28"/>
          <w:szCs w:val="28"/>
        </w:rPr>
        <w:t xml:space="preserve">Проект Закону </w:t>
      </w:r>
      <w:r>
        <w:rPr>
          <w:sz w:val="28"/>
          <w:szCs w:val="28"/>
        </w:rPr>
        <w:t xml:space="preserve">сприятиме </w:t>
      </w:r>
      <w:r w:rsidRPr="00D12BB5">
        <w:rPr>
          <w:sz w:val="28"/>
          <w:szCs w:val="28"/>
        </w:rPr>
        <w:t>забезпеченн</w:t>
      </w:r>
      <w:r>
        <w:rPr>
          <w:sz w:val="28"/>
          <w:szCs w:val="28"/>
        </w:rPr>
        <w:t xml:space="preserve">ю </w:t>
      </w:r>
      <w:r w:rsidRPr="00D12BB5">
        <w:rPr>
          <w:sz w:val="28"/>
          <w:szCs w:val="28"/>
        </w:rPr>
        <w:t>належної керованості державних</w:t>
      </w:r>
      <w:r>
        <w:rPr>
          <w:sz w:val="28"/>
          <w:szCs w:val="28"/>
        </w:rPr>
        <w:t xml:space="preserve"> </w:t>
      </w:r>
      <w:r w:rsidRPr="00D12BB5">
        <w:rPr>
          <w:sz w:val="28"/>
          <w:szCs w:val="28"/>
        </w:rPr>
        <w:t>підприємств та акціонерних товариств оборонно-промислового комплексу, у статутному капіталі яких розмір корпоративних прав держави</w:t>
      </w:r>
      <w:r>
        <w:rPr>
          <w:sz w:val="28"/>
          <w:szCs w:val="28"/>
        </w:rPr>
        <w:t xml:space="preserve"> </w:t>
      </w:r>
      <w:r w:rsidRPr="00D12BB5">
        <w:rPr>
          <w:sz w:val="28"/>
          <w:szCs w:val="28"/>
        </w:rPr>
        <w:t>перевищує 50 відсотків та повноваження з управління корпоративними</w:t>
      </w:r>
      <w:r>
        <w:rPr>
          <w:sz w:val="28"/>
          <w:szCs w:val="28"/>
        </w:rPr>
        <w:t xml:space="preserve"> </w:t>
      </w:r>
      <w:r w:rsidRPr="00D12BB5">
        <w:rPr>
          <w:sz w:val="28"/>
          <w:szCs w:val="28"/>
        </w:rPr>
        <w:t>правами держави щодо яких здійснює Державний концерн «Укроборонпром»</w:t>
      </w:r>
      <w:r>
        <w:rPr>
          <w:sz w:val="28"/>
          <w:szCs w:val="28"/>
        </w:rPr>
        <w:t>.</w:t>
      </w:r>
    </w:p>
    <w:p w:rsidR="00D12BB5" w:rsidRDefault="00D12BB5" w:rsidP="002743BF">
      <w:pPr>
        <w:pStyle w:val="a5"/>
        <w:ind w:firstLine="851"/>
        <w:jc w:val="both"/>
        <w:rPr>
          <w:b/>
          <w:sz w:val="28"/>
          <w:szCs w:val="28"/>
          <w:lang w:val="uk-UA"/>
        </w:rPr>
      </w:pPr>
    </w:p>
    <w:p w:rsidR="00D12BB5" w:rsidRDefault="00D12BB5" w:rsidP="002743BF">
      <w:pPr>
        <w:pStyle w:val="a5"/>
        <w:ind w:firstLine="851"/>
        <w:jc w:val="both"/>
        <w:rPr>
          <w:b/>
          <w:sz w:val="28"/>
          <w:szCs w:val="28"/>
          <w:lang w:val="uk-UA"/>
        </w:rPr>
      </w:pPr>
    </w:p>
    <w:p w:rsidR="00D12BB5" w:rsidRPr="00D12BB5" w:rsidRDefault="00D12BB5" w:rsidP="00D12BB5">
      <w:pPr>
        <w:tabs>
          <w:tab w:val="left" w:pos="3400"/>
        </w:tabs>
        <w:ind w:left="7780" w:hanging="7780"/>
        <w:rPr>
          <w:b/>
          <w:bCs/>
          <w:sz w:val="28"/>
          <w:szCs w:val="28"/>
          <w:lang w:val="ru-RU"/>
        </w:rPr>
      </w:pPr>
      <w:r w:rsidRPr="00D12BB5">
        <w:rPr>
          <w:b/>
          <w:bCs/>
          <w:sz w:val="28"/>
          <w:szCs w:val="28"/>
        </w:rPr>
        <w:t xml:space="preserve">Народний депутат України </w:t>
      </w:r>
      <w:r w:rsidRPr="00D12BB5">
        <w:rPr>
          <w:b/>
          <w:bCs/>
          <w:sz w:val="28"/>
          <w:szCs w:val="28"/>
        </w:rPr>
        <w:tab/>
      </w:r>
      <w:r w:rsidRPr="00D12BB5">
        <w:rPr>
          <w:b/>
          <w:bCs/>
          <w:sz w:val="28"/>
          <w:szCs w:val="28"/>
        </w:rPr>
        <w:tab/>
        <w:t xml:space="preserve">Р.А. Підласа </w:t>
      </w:r>
      <w:r>
        <w:rPr>
          <w:b/>
          <w:bCs/>
          <w:sz w:val="28"/>
          <w:szCs w:val="28"/>
        </w:rPr>
        <w:t xml:space="preserve">     </w:t>
      </w:r>
      <w:r w:rsidRPr="00D12BB5">
        <w:rPr>
          <w:b/>
          <w:bCs/>
          <w:sz w:val="28"/>
          <w:szCs w:val="28"/>
        </w:rPr>
        <w:t>(посв.№100)</w:t>
      </w:r>
    </w:p>
    <w:sectPr w:rsidR="00D12BB5" w:rsidRPr="00D12BB5" w:rsidSect="00D12BB5">
      <w:footerReference w:type="even" r:id="rId8"/>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13C" w:rsidRDefault="005E213C">
      <w:r>
        <w:separator/>
      </w:r>
    </w:p>
  </w:endnote>
  <w:endnote w:type="continuationSeparator" w:id="0">
    <w:p w:rsidR="005E213C" w:rsidRDefault="005E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B" w:rsidRDefault="00E50EAB" w:rsidP="00DE5C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50EAB" w:rsidRDefault="00E50EAB" w:rsidP="00DE5C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B" w:rsidRDefault="00E50EAB" w:rsidP="00DE5C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170F">
      <w:rPr>
        <w:rStyle w:val="a4"/>
        <w:noProof/>
      </w:rPr>
      <w:t>1</w:t>
    </w:r>
    <w:r>
      <w:rPr>
        <w:rStyle w:val="a4"/>
      </w:rPr>
      <w:fldChar w:fldCharType="end"/>
    </w:r>
  </w:p>
  <w:p w:rsidR="00E50EAB" w:rsidRDefault="00E50EAB" w:rsidP="00DE5C1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13C" w:rsidRDefault="005E213C">
      <w:r>
        <w:separator/>
      </w:r>
    </w:p>
  </w:footnote>
  <w:footnote w:type="continuationSeparator" w:id="0">
    <w:p w:rsidR="005E213C" w:rsidRDefault="005E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9C7"/>
    <w:multiLevelType w:val="hybridMultilevel"/>
    <w:tmpl w:val="76507744"/>
    <w:lvl w:ilvl="0" w:tplc="F0102E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4D2662"/>
    <w:multiLevelType w:val="hybridMultilevel"/>
    <w:tmpl w:val="BAB89DB6"/>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E115BA2"/>
    <w:multiLevelType w:val="hybridMultilevel"/>
    <w:tmpl w:val="055A9DB6"/>
    <w:lvl w:ilvl="0" w:tplc="05FE4CF0">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15:restartNumberingAfterBreak="0">
    <w:nsid w:val="0E3A772D"/>
    <w:multiLevelType w:val="hybridMultilevel"/>
    <w:tmpl w:val="0206F03E"/>
    <w:lvl w:ilvl="0" w:tplc="BD6A0598">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A403BA0"/>
    <w:multiLevelType w:val="hybridMultilevel"/>
    <w:tmpl w:val="2820D974"/>
    <w:lvl w:ilvl="0" w:tplc="2D72B3E0">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1E7A6224"/>
    <w:multiLevelType w:val="multilevel"/>
    <w:tmpl w:val="657836A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858" w:hanging="432"/>
      </w:pPr>
      <w:rPr>
        <w:rFonts w:ascii="Times New Roman" w:hAnsi="Times New Roman" w:cs="Times New Roman" w:hint="default"/>
      </w:rPr>
    </w:lvl>
    <w:lvl w:ilvl="2">
      <w:start w:val="1"/>
      <w:numFmt w:val="decimal"/>
      <w:isLgl/>
      <w:lvlText w:val="%1.%2.%3"/>
      <w:lvlJc w:val="left"/>
      <w:pPr>
        <w:ind w:left="1212" w:hanging="720"/>
      </w:pPr>
      <w:rPr>
        <w:rFonts w:ascii="Times New Roman" w:hAnsi="Times New Roman" w:cs="Times New Roman" w:hint="default"/>
      </w:rPr>
    </w:lvl>
    <w:lvl w:ilvl="3">
      <w:start w:val="1"/>
      <w:numFmt w:val="decimal"/>
      <w:isLgl/>
      <w:lvlText w:val="%1.%2.%3.%4"/>
      <w:lvlJc w:val="left"/>
      <w:pPr>
        <w:ind w:left="1638" w:hanging="1080"/>
      </w:pPr>
      <w:rPr>
        <w:rFonts w:ascii="Times New Roman" w:hAnsi="Times New Roman" w:cs="Times New Roman" w:hint="default"/>
      </w:rPr>
    </w:lvl>
    <w:lvl w:ilvl="4">
      <w:start w:val="1"/>
      <w:numFmt w:val="decimal"/>
      <w:isLgl/>
      <w:lvlText w:val="%1.%2.%3.%4.%5"/>
      <w:lvlJc w:val="left"/>
      <w:pPr>
        <w:ind w:left="1704" w:hanging="1080"/>
      </w:pPr>
      <w:rPr>
        <w:rFonts w:ascii="Times New Roman" w:hAnsi="Times New Roman" w:cs="Times New Roman" w:hint="default"/>
      </w:rPr>
    </w:lvl>
    <w:lvl w:ilvl="5">
      <w:start w:val="1"/>
      <w:numFmt w:val="decimal"/>
      <w:isLgl/>
      <w:lvlText w:val="%1.%2.%3.%4.%5.%6"/>
      <w:lvlJc w:val="left"/>
      <w:pPr>
        <w:ind w:left="2130" w:hanging="1440"/>
      </w:pPr>
      <w:rPr>
        <w:rFonts w:ascii="Times New Roman" w:hAnsi="Times New Roman" w:cs="Times New Roman" w:hint="default"/>
      </w:rPr>
    </w:lvl>
    <w:lvl w:ilvl="6">
      <w:start w:val="1"/>
      <w:numFmt w:val="decimal"/>
      <w:isLgl/>
      <w:lvlText w:val="%1.%2.%3.%4.%5.%6.%7"/>
      <w:lvlJc w:val="left"/>
      <w:pPr>
        <w:ind w:left="2196" w:hanging="1440"/>
      </w:pPr>
      <w:rPr>
        <w:rFonts w:ascii="Times New Roman" w:hAnsi="Times New Roman" w:cs="Times New Roman" w:hint="default"/>
      </w:rPr>
    </w:lvl>
    <w:lvl w:ilvl="7">
      <w:start w:val="1"/>
      <w:numFmt w:val="decimal"/>
      <w:isLgl/>
      <w:lvlText w:val="%1.%2.%3.%4.%5.%6.%7.%8"/>
      <w:lvlJc w:val="left"/>
      <w:pPr>
        <w:ind w:left="2622" w:hanging="1800"/>
      </w:pPr>
      <w:rPr>
        <w:rFonts w:ascii="Times New Roman" w:hAnsi="Times New Roman" w:cs="Times New Roman" w:hint="default"/>
      </w:rPr>
    </w:lvl>
    <w:lvl w:ilvl="8">
      <w:start w:val="1"/>
      <w:numFmt w:val="decimal"/>
      <w:isLgl/>
      <w:lvlText w:val="%1.%2.%3.%4.%5.%6.%7.%8.%9"/>
      <w:lvlJc w:val="left"/>
      <w:pPr>
        <w:ind w:left="3048" w:hanging="2160"/>
      </w:pPr>
      <w:rPr>
        <w:rFonts w:ascii="Times New Roman" w:hAnsi="Times New Roman" w:cs="Times New Roman" w:hint="default"/>
      </w:rPr>
    </w:lvl>
  </w:abstractNum>
  <w:abstractNum w:abstractNumId="6" w15:restartNumberingAfterBreak="0">
    <w:nsid w:val="307F472B"/>
    <w:multiLevelType w:val="hybridMultilevel"/>
    <w:tmpl w:val="78EC6A7C"/>
    <w:lvl w:ilvl="0" w:tplc="3D40118C">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4EC51F01"/>
    <w:multiLevelType w:val="hybridMultilevel"/>
    <w:tmpl w:val="3990C12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4142E84"/>
    <w:multiLevelType w:val="hybridMultilevel"/>
    <w:tmpl w:val="B2760976"/>
    <w:lvl w:ilvl="0" w:tplc="0422000F">
      <w:start w:val="1"/>
      <w:numFmt w:val="decimal"/>
      <w:lvlText w:val="%1."/>
      <w:lvlJc w:val="left"/>
      <w:pPr>
        <w:ind w:left="4755" w:hanging="360"/>
      </w:pPr>
      <w:rPr>
        <w:rFonts w:hint="default"/>
      </w:rPr>
    </w:lvl>
    <w:lvl w:ilvl="1" w:tplc="04220019" w:tentative="1">
      <w:start w:val="1"/>
      <w:numFmt w:val="lowerLetter"/>
      <w:lvlText w:val="%2."/>
      <w:lvlJc w:val="left"/>
      <w:pPr>
        <w:ind w:left="5475" w:hanging="360"/>
      </w:pPr>
    </w:lvl>
    <w:lvl w:ilvl="2" w:tplc="0422001B" w:tentative="1">
      <w:start w:val="1"/>
      <w:numFmt w:val="lowerRoman"/>
      <w:lvlText w:val="%3."/>
      <w:lvlJc w:val="right"/>
      <w:pPr>
        <w:ind w:left="6195" w:hanging="180"/>
      </w:pPr>
    </w:lvl>
    <w:lvl w:ilvl="3" w:tplc="0422000F" w:tentative="1">
      <w:start w:val="1"/>
      <w:numFmt w:val="decimal"/>
      <w:lvlText w:val="%4."/>
      <w:lvlJc w:val="left"/>
      <w:pPr>
        <w:ind w:left="6915" w:hanging="360"/>
      </w:pPr>
    </w:lvl>
    <w:lvl w:ilvl="4" w:tplc="04220019" w:tentative="1">
      <w:start w:val="1"/>
      <w:numFmt w:val="lowerLetter"/>
      <w:lvlText w:val="%5."/>
      <w:lvlJc w:val="left"/>
      <w:pPr>
        <w:ind w:left="7635" w:hanging="360"/>
      </w:pPr>
    </w:lvl>
    <w:lvl w:ilvl="5" w:tplc="0422001B" w:tentative="1">
      <w:start w:val="1"/>
      <w:numFmt w:val="lowerRoman"/>
      <w:lvlText w:val="%6."/>
      <w:lvlJc w:val="right"/>
      <w:pPr>
        <w:ind w:left="8355" w:hanging="180"/>
      </w:pPr>
    </w:lvl>
    <w:lvl w:ilvl="6" w:tplc="0422000F" w:tentative="1">
      <w:start w:val="1"/>
      <w:numFmt w:val="decimal"/>
      <w:lvlText w:val="%7."/>
      <w:lvlJc w:val="left"/>
      <w:pPr>
        <w:ind w:left="9075" w:hanging="360"/>
      </w:pPr>
    </w:lvl>
    <w:lvl w:ilvl="7" w:tplc="04220019" w:tentative="1">
      <w:start w:val="1"/>
      <w:numFmt w:val="lowerLetter"/>
      <w:lvlText w:val="%8."/>
      <w:lvlJc w:val="left"/>
      <w:pPr>
        <w:ind w:left="9795" w:hanging="360"/>
      </w:pPr>
    </w:lvl>
    <w:lvl w:ilvl="8" w:tplc="0422001B" w:tentative="1">
      <w:start w:val="1"/>
      <w:numFmt w:val="lowerRoman"/>
      <w:lvlText w:val="%9."/>
      <w:lvlJc w:val="right"/>
      <w:pPr>
        <w:ind w:left="10515" w:hanging="180"/>
      </w:pPr>
    </w:lvl>
  </w:abstractNum>
  <w:abstractNum w:abstractNumId="9" w15:restartNumberingAfterBreak="0">
    <w:nsid w:val="767C5584"/>
    <w:multiLevelType w:val="hybridMultilevel"/>
    <w:tmpl w:val="A308F522"/>
    <w:lvl w:ilvl="0" w:tplc="1090B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7"/>
  </w:num>
  <w:num w:numId="3">
    <w:abstractNumId w:val="8"/>
  </w:num>
  <w:num w:numId="4">
    <w:abstractNumId w:val="5"/>
  </w:num>
  <w:num w:numId="5">
    <w:abstractNumId w:val="0"/>
  </w:num>
  <w:num w:numId="6">
    <w:abstractNumId w:val="2"/>
  </w:num>
  <w:num w:numId="7">
    <w:abstractNumId w:val="6"/>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C19"/>
    <w:rsid w:val="00005C8B"/>
    <w:rsid w:val="00006A74"/>
    <w:rsid w:val="00021DF8"/>
    <w:rsid w:val="00035975"/>
    <w:rsid w:val="000376B6"/>
    <w:rsid w:val="00044619"/>
    <w:rsid w:val="00044AC8"/>
    <w:rsid w:val="00046681"/>
    <w:rsid w:val="00061C96"/>
    <w:rsid w:val="00065EB7"/>
    <w:rsid w:val="00067BB8"/>
    <w:rsid w:val="00071650"/>
    <w:rsid w:val="00072B27"/>
    <w:rsid w:val="00081994"/>
    <w:rsid w:val="000912AF"/>
    <w:rsid w:val="00093C4B"/>
    <w:rsid w:val="00094E7A"/>
    <w:rsid w:val="000A1E50"/>
    <w:rsid w:val="000A2E43"/>
    <w:rsid w:val="000B124D"/>
    <w:rsid w:val="000B44C3"/>
    <w:rsid w:val="000B4B00"/>
    <w:rsid w:val="000B68FA"/>
    <w:rsid w:val="000D09AB"/>
    <w:rsid w:val="000D0C91"/>
    <w:rsid w:val="000D75EF"/>
    <w:rsid w:val="000E042C"/>
    <w:rsid w:val="000E3D43"/>
    <w:rsid w:val="000E4123"/>
    <w:rsid w:val="000F0E95"/>
    <w:rsid w:val="00101053"/>
    <w:rsid w:val="00101B2D"/>
    <w:rsid w:val="00112970"/>
    <w:rsid w:val="001166D5"/>
    <w:rsid w:val="001176DD"/>
    <w:rsid w:val="00117742"/>
    <w:rsid w:val="00124DDF"/>
    <w:rsid w:val="00127722"/>
    <w:rsid w:val="00143204"/>
    <w:rsid w:val="00155985"/>
    <w:rsid w:val="00155F42"/>
    <w:rsid w:val="00174606"/>
    <w:rsid w:val="001746AF"/>
    <w:rsid w:val="00186B1C"/>
    <w:rsid w:val="001944FD"/>
    <w:rsid w:val="00195C7C"/>
    <w:rsid w:val="00195CB3"/>
    <w:rsid w:val="001A7770"/>
    <w:rsid w:val="001B43FD"/>
    <w:rsid w:val="001D046D"/>
    <w:rsid w:val="001D170F"/>
    <w:rsid w:val="001D2CEC"/>
    <w:rsid w:val="001E358E"/>
    <w:rsid w:val="001E3632"/>
    <w:rsid w:val="001E6EA0"/>
    <w:rsid w:val="001F24AE"/>
    <w:rsid w:val="00206E88"/>
    <w:rsid w:val="00214702"/>
    <w:rsid w:val="00223364"/>
    <w:rsid w:val="0022726E"/>
    <w:rsid w:val="00233DEC"/>
    <w:rsid w:val="002349BC"/>
    <w:rsid w:val="00236F4B"/>
    <w:rsid w:val="00244AF8"/>
    <w:rsid w:val="00255B6B"/>
    <w:rsid w:val="00261B30"/>
    <w:rsid w:val="00262975"/>
    <w:rsid w:val="00263A09"/>
    <w:rsid w:val="00270104"/>
    <w:rsid w:val="002743BF"/>
    <w:rsid w:val="002778DF"/>
    <w:rsid w:val="00281015"/>
    <w:rsid w:val="00290C9A"/>
    <w:rsid w:val="00290CCC"/>
    <w:rsid w:val="002933A9"/>
    <w:rsid w:val="00295A22"/>
    <w:rsid w:val="002975FA"/>
    <w:rsid w:val="002A5141"/>
    <w:rsid w:val="002A5D04"/>
    <w:rsid w:val="002A62D4"/>
    <w:rsid w:val="002B0436"/>
    <w:rsid w:val="002B0B69"/>
    <w:rsid w:val="002E0C1B"/>
    <w:rsid w:val="002E2AA8"/>
    <w:rsid w:val="002E3145"/>
    <w:rsid w:val="002F1E50"/>
    <w:rsid w:val="002F4CF8"/>
    <w:rsid w:val="002F77B4"/>
    <w:rsid w:val="0030091D"/>
    <w:rsid w:val="0030615E"/>
    <w:rsid w:val="00306F41"/>
    <w:rsid w:val="0031133A"/>
    <w:rsid w:val="00313E9E"/>
    <w:rsid w:val="00320097"/>
    <w:rsid w:val="003328C8"/>
    <w:rsid w:val="00334DA8"/>
    <w:rsid w:val="003454C1"/>
    <w:rsid w:val="003477AA"/>
    <w:rsid w:val="003517A6"/>
    <w:rsid w:val="003517B2"/>
    <w:rsid w:val="00351A16"/>
    <w:rsid w:val="0035525C"/>
    <w:rsid w:val="00356AC4"/>
    <w:rsid w:val="00361A49"/>
    <w:rsid w:val="00366CFE"/>
    <w:rsid w:val="00380413"/>
    <w:rsid w:val="003927C5"/>
    <w:rsid w:val="00396331"/>
    <w:rsid w:val="00396CFC"/>
    <w:rsid w:val="003A125A"/>
    <w:rsid w:val="003A19A2"/>
    <w:rsid w:val="003A39C5"/>
    <w:rsid w:val="003A3ECA"/>
    <w:rsid w:val="003A57B3"/>
    <w:rsid w:val="003A5E50"/>
    <w:rsid w:val="003C2416"/>
    <w:rsid w:val="003C687A"/>
    <w:rsid w:val="003D081A"/>
    <w:rsid w:val="003D61A3"/>
    <w:rsid w:val="003D7553"/>
    <w:rsid w:val="003D7E03"/>
    <w:rsid w:val="003E15C7"/>
    <w:rsid w:val="003F026D"/>
    <w:rsid w:val="003F1EA6"/>
    <w:rsid w:val="00405978"/>
    <w:rsid w:val="004107AA"/>
    <w:rsid w:val="00411D80"/>
    <w:rsid w:val="004179BC"/>
    <w:rsid w:val="00421CC4"/>
    <w:rsid w:val="00423F62"/>
    <w:rsid w:val="00450D32"/>
    <w:rsid w:val="004577FE"/>
    <w:rsid w:val="00462A1F"/>
    <w:rsid w:val="004637AD"/>
    <w:rsid w:val="00465596"/>
    <w:rsid w:val="00465FA5"/>
    <w:rsid w:val="0047209D"/>
    <w:rsid w:val="0047404F"/>
    <w:rsid w:val="00484123"/>
    <w:rsid w:val="00484D09"/>
    <w:rsid w:val="004872FC"/>
    <w:rsid w:val="004933E3"/>
    <w:rsid w:val="004934FD"/>
    <w:rsid w:val="00494919"/>
    <w:rsid w:val="00496EB9"/>
    <w:rsid w:val="00497C4D"/>
    <w:rsid w:val="004A11F9"/>
    <w:rsid w:val="004A3093"/>
    <w:rsid w:val="004A4BFE"/>
    <w:rsid w:val="004A5608"/>
    <w:rsid w:val="004B116A"/>
    <w:rsid w:val="004B1219"/>
    <w:rsid w:val="004B1B64"/>
    <w:rsid w:val="004C35A1"/>
    <w:rsid w:val="004C3E09"/>
    <w:rsid w:val="004C4670"/>
    <w:rsid w:val="004C4E73"/>
    <w:rsid w:val="004D7816"/>
    <w:rsid w:val="004E03C2"/>
    <w:rsid w:val="004E403D"/>
    <w:rsid w:val="004F7C07"/>
    <w:rsid w:val="005001C5"/>
    <w:rsid w:val="00501C0A"/>
    <w:rsid w:val="0050393E"/>
    <w:rsid w:val="00506C1A"/>
    <w:rsid w:val="005163B3"/>
    <w:rsid w:val="00522C34"/>
    <w:rsid w:val="005248D8"/>
    <w:rsid w:val="0053193F"/>
    <w:rsid w:val="00533C84"/>
    <w:rsid w:val="00545AB4"/>
    <w:rsid w:val="00557512"/>
    <w:rsid w:val="005624C9"/>
    <w:rsid w:val="00562771"/>
    <w:rsid w:val="00566069"/>
    <w:rsid w:val="0056679E"/>
    <w:rsid w:val="00566E12"/>
    <w:rsid w:val="00574483"/>
    <w:rsid w:val="00574E3A"/>
    <w:rsid w:val="005A408E"/>
    <w:rsid w:val="005A42E3"/>
    <w:rsid w:val="005B6548"/>
    <w:rsid w:val="005B7B25"/>
    <w:rsid w:val="005C1BEB"/>
    <w:rsid w:val="005C60F2"/>
    <w:rsid w:val="005D03A8"/>
    <w:rsid w:val="005D737D"/>
    <w:rsid w:val="005E213C"/>
    <w:rsid w:val="005F174D"/>
    <w:rsid w:val="005F284E"/>
    <w:rsid w:val="005F6F9E"/>
    <w:rsid w:val="005F74D8"/>
    <w:rsid w:val="00601FE5"/>
    <w:rsid w:val="00603E5D"/>
    <w:rsid w:val="006053E9"/>
    <w:rsid w:val="00610DF4"/>
    <w:rsid w:val="00611C46"/>
    <w:rsid w:val="00612AC9"/>
    <w:rsid w:val="0061322D"/>
    <w:rsid w:val="00620E0A"/>
    <w:rsid w:val="00633611"/>
    <w:rsid w:val="00641413"/>
    <w:rsid w:val="006423B7"/>
    <w:rsid w:val="00655491"/>
    <w:rsid w:val="00660BF5"/>
    <w:rsid w:val="00662AB7"/>
    <w:rsid w:val="006633B9"/>
    <w:rsid w:val="00664FFD"/>
    <w:rsid w:val="00667913"/>
    <w:rsid w:val="006707C1"/>
    <w:rsid w:val="0068125B"/>
    <w:rsid w:val="00682851"/>
    <w:rsid w:val="006967AD"/>
    <w:rsid w:val="006973AA"/>
    <w:rsid w:val="006B6CA2"/>
    <w:rsid w:val="006C1E81"/>
    <w:rsid w:val="006C7DB5"/>
    <w:rsid w:val="006E0B8C"/>
    <w:rsid w:val="006E4868"/>
    <w:rsid w:val="006E4F11"/>
    <w:rsid w:val="006E6F88"/>
    <w:rsid w:val="006E75E6"/>
    <w:rsid w:val="006F3080"/>
    <w:rsid w:val="006F4563"/>
    <w:rsid w:val="00702A60"/>
    <w:rsid w:val="0070338D"/>
    <w:rsid w:val="00705D00"/>
    <w:rsid w:val="00722CB2"/>
    <w:rsid w:val="0072425A"/>
    <w:rsid w:val="00734AFC"/>
    <w:rsid w:val="007369B0"/>
    <w:rsid w:val="00744C0C"/>
    <w:rsid w:val="00747044"/>
    <w:rsid w:val="00751725"/>
    <w:rsid w:val="00753DB7"/>
    <w:rsid w:val="0075450F"/>
    <w:rsid w:val="00755B87"/>
    <w:rsid w:val="00763321"/>
    <w:rsid w:val="00774F60"/>
    <w:rsid w:val="00775FBC"/>
    <w:rsid w:val="00780DCA"/>
    <w:rsid w:val="00784E2A"/>
    <w:rsid w:val="007903AC"/>
    <w:rsid w:val="0079288F"/>
    <w:rsid w:val="00794628"/>
    <w:rsid w:val="00797FCD"/>
    <w:rsid w:val="007A1FD0"/>
    <w:rsid w:val="007A4AA3"/>
    <w:rsid w:val="007B133B"/>
    <w:rsid w:val="007B1ABF"/>
    <w:rsid w:val="007B2D91"/>
    <w:rsid w:val="007C5EB4"/>
    <w:rsid w:val="007D0F04"/>
    <w:rsid w:val="007D26D9"/>
    <w:rsid w:val="007F553E"/>
    <w:rsid w:val="008030DC"/>
    <w:rsid w:val="008038F0"/>
    <w:rsid w:val="008049F6"/>
    <w:rsid w:val="008065C5"/>
    <w:rsid w:val="00806B16"/>
    <w:rsid w:val="00806EEF"/>
    <w:rsid w:val="008210C4"/>
    <w:rsid w:val="0082261C"/>
    <w:rsid w:val="0082539D"/>
    <w:rsid w:val="00832050"/>
    <w:rsid w:val="00836FEE"/>
    <w:rsid w:val="00841A07"/>
    <w:rsid w:val="00842E15"/>
    <w:rsid w:val="00846160"/>
    <w:rsid w:val="00870717"/>
    <w:rsid w:val="00875F2D"/>
    <w:rsid w:val="0087633C"/>
    <w:rsid w:val="0088695E"/>
    <w:rsid w:val="00893AEC"/>
    <w:rsid w:val="00896D05"/>
    <w:rsid w:val="008A27C5"/>
    <w:rsid w:val="008B770E"/>
    <w:rsid w:val="008D0A2F"/>
    <w:rsid w:val="008D18C9"/>
    <w:rsid w:val="008D26D0"/>
    <w:rsid w:val="008D5A6F"/>
    <w:rsid w:val="008E1ABE"/>
    <w:rsid w:val="008E1CBC"/>
    <w:rsid w:val="008F77F8"/>
    <w:rsid w:val="00905019"/>
    <w:rsid w:val="009128E6"/>
    <w:rsid w:val="009147B9"/>
    <w:rsid w:val="00914D5D"/>
    <w:rsid w:val="009266B0"/>
    <w:rsid w:val="009361EA"/>
    <w:rsid w:val="009435B6"/>
    <w:rsid w:val="00945A65"/>
    <w:rsid w:val="009511AB"/>
    <w:rsid w:val="00975ADF"/>
    <w:rsid w:val="00990F64"/>
    <w:rsid w:val="009924A4"/>
    <w:rsid w:val="009A4C2D"/>
    <w:rsid w:val="009B0BCD"/>
    <w:rsid w:val="009B30D1"/>
    <w:rsid w:val="009B5FB0"/>
    <w:rsid w:val="00A01B10"/>
    <w:rsid w:val="00A03C96"/>
    <w:rsid w:val="00A11394"/>
    <w:rsid w:val="00A12A07"/>
    <w:rsid w:val="00A20153"/>
    <w:rsid w:val="00A203B6"/>
    <w:rsid w:val="00A225DA"/>
    <w:rsid w:val="00A238D2"/>
    <w:rsid w:val="00A31290"/>
    <w:rsid w:val="00A34DB4"/>
    <w:rsid w:val="00A352B5"/>
    <w:rsid w:val="00A4204A"/>
    <w:rsid w:val="00A562DA"/>
    <w:rsid w:val="00A609E0"/>
    <w:rsid w:val="00A61040"/>
    <w:rsid w:val="00A62D3E"/>
    <w:rsid w:val="00A70033"/>
    <w:rsid w:val="00A732AF"/>
    <w:rsid w:val="00A75632"/>
    <w:rsid w:val="00A808AC"/>
    <w:rsid w:val="00A93107"/>
    <w:rsid w:val="00A951EB"/>
    <w:rsid w:val="00A95DD4"/>
    <w:rsid w:val="00AA0434"/>
    <w:rsid w:val="00AA07C3"/>
    <w:rsid w:val="00AA5186"/>
    <w:rsid w:val="00AA6532"/>
    <w:rsid w:val="00AB22F8"/>
    <w:rsid w:val="00AB3C84"/>
    <w:rsid w:val="00AB6A37"/>
    <w:rsid w:val="00AD1D52"/>
    <w:rsid w:val="00AE37BF"/>
    <w:rsid w:val="00AE3EEE"/>
    <w:rsid w:val="00AE4447"/>
    <w:rsid w:val="00AE5D8F"/>
    <w:rsid w:val="00AF4E49"/>
    <w:rsid w:val="00AF5188"/>
    <w:rsid w:val="00AF6DE8"/>
    <w:rsid w:val="00B01431"/>
    <w:rsid w:val="00B0645E"/>
    <w:rsid w:val="00B14D09"/>
    <w:rsid w:val="00B166F5"/>
    <w:rsid w:val="00B217B8"/>
    <w:rsid w:val="00B21880"/>
    <w:rsid w:val="00B2394D"/>
    <w:rsid w:val="00B261DB"/>
    <w:rsid w:val="00B30970"/>
    <w:rsid w:val="00B401EC"/>
    <w:rsid w:val="00B50284"/>
    <w:rsid w:val="00B53557"/>
    <w:rsid w:val="00B56931"/>
    <w:rsid w:val="00B616A3"/>
    <w:rsid w:val="00B62AE4"/>
    <w:rsid w:val="00B700FC"/>
    <w:rsid w:val="00B70ECF"/>
    <w:rsid w:val="00B716E6"/>
    <w:rsid w:val="00B80762"/>
    <w:rsid w:val="00B8301B"/>
    <w:rsid w:val="00B834CA"/>
    <w:rsid w:val="00B84A7F"/>
    <w:rsid w:val="00B90231"/>
    <w:rsid w:val="00B96906"/>
    <w:rsid w:val="00BB0988"/>
    <w:rsid w:val="00BC01F4"/>
    <w:rsid w:val="00BC0CD9"/>
    <w:rsid w:val="00BC35AC"/>
    <w:rsid w:val="00BC7573"/>
    <w:rsid w:val="00BC771E"/>
    <w:rsid w:val="00BD31B9"/>
    <w:rsid w:val="00BD5041"/>
    <w:rsid w:val="00BE1F51"/>
    <w:rsid w:val="00BE32AA"/>
    <w:rsid w:val="00BF161A"/>
    <w:rsid w:val="00BF1B8E"/>
    <w:rsid w:val="00BF287B"/>
    <w:rsid w:val="00BF4DDE"/>
    <w:rsid w:val="00BF7716"/>
    <w:rsid w:val="00C01B19"/>
    <w:rsid w:val="00C04910"/>
    <w:rsid w:val="00C057D3"/>
    <w:rsid w:val="00C12DAF"/>
    <w:rsid w:val="00C2707A"/>
    <w:rsid w:val="00C276F3"/>
    <w:rsid w:val="00C3692B"/>
    <w:rsid w:val="00C3762B"/>
    <w:rsid w:val="00C46323"/>
    <w:rsid w:val="00C52E5C"/>
    <w:rsid w:val="00C63FC5"/>
    <w:rsid w:val="00C67166"/>
    <w:rsid w:val="00C70465"/>
    <w:rsid w:val="00C736FC"/>
    <w:rsid w:val="00C85DFD"/>
    <w:rsid w:val="00C86D02"/>
    <w:rsid w:val="00C90FBA"/>
    <w:rsid w:val="00C9412E"/>
    <w:rsid w:val="00C96073"/>
    <w:rsid w:val="00C9617C"/>
    <w:rsid w:val="00C97675"/>
    <w:rsid w:val="00CA7A72"/>
    <w:rsid w:val="00CB7FA3"/>
    <w:rsid w:val="00CC0E1C"/>
    <w:rsid w:val="00CC15A6"/>
    <w:rsid w:val="00CC65D4"/>
    <w:rsid w:val="00CD1049"/>
    <w:rsid w:val="00CD5018"/>
    <w:rsid w:val="00CD7035"/>
    <w:rsid w:val="00CE4194"/>
    <w:rsid w:val="00CF0AA4"/>
    <w:rsid w:val="00CF3254"/>
    <w:rsid w:val="00CF5783"/>
    <w:rsid w:val="00D02DB3"/>
    <w:rsid w:val="00D04346"/>
    <w:rsid w:val="00D12124"/>
    <w:rsid w:val="00D12BB5"/>
    <w:rsid w:val="00D154FC"/>
    <w:rsid w:val="00D233FB"/>
    <w:rsid w:val="00D32DDF"/>
    <w:rsid w:val="00D449AA"/>
    <w:rsid w:val="00D4575B"/>
    <w:rsid w:val="00D54114"/>
    <w:rsid w:val="00D56DFE"/>
    <w:rsid w:val="00D65920"/>
    <w:rsid w:val="00D71C3B"/>
    <w:rsid w:val="00D72FDF"/>
    <w:rsid w:val="00D7778E"/>
    <w:rsid w:val="00D81776"/>
    <w:rsid w:val="00D839B9"/>
    <w:rsid w:val="00D935C4"/>
    <w:rsid w:val="00DB3B4C"/>
    <w:rsid w:val="00DC3FCC"/>
    <w:rsid w:val="00DC7052"/>
    <w:rsid w:val="00DD2548"/>
    <w:rsid w:val="00DD3262"/>
    <w:rsid w:val="00DE0A9C"/>
    <w:rsid w:val="00DE5C19"/>
    <w:rsid w:val="00DF1B0C"/>
    <w:rsid w:val="00E0150A"/>
    <w:rsid w:val="00E137A1"/>
    <w:rsid w:val="00E15366"/>
    <w:rsid w:val="00E24A0F"/>
    <w:rsid w:val="00E341A0"/>
    <w:rsid w:val="00E42236"/>
    <w:rsid w:val="00E42630"/>
    <w:rsid w:val="00E44338"/>
    <w:rsid w:val="00E50EAA"/>
    <w:rsid w:val="00E50EAB"/>
    <w:rsid w:val="00E823C6"/>
    <w:rsid w:val="00E95724"/>
    <w:rsid w:val="00E9580E"/>
    <w:rsid w:val="00EA47D6"/>
    <w:rsid w:val="00EA7A1B"/>
    <w:rsid w:val="00EB27C9"/>
    <w:rsid w:val="00EB775D"/>
    <w:rsid w:val="00ED47D2"/>
    <w:rsid w:val="00ED4D88"/>
    <w:rsid w:val="00ED5465"/>
    <w:rsid w:val="00EE7864"/>
    <w:rsid w:val="00EF2CD7"/>
    <w:rsid w:val="00F00D73"/>
    <w:rsid w:val="00F00F14"/>
    <w:rsid w:val="00F21182"/>
    <w:rsid w:val="00F217A1"/>
    <w:rsid w:val="00F224FB"/>
    <w:rsid w:val="00F22BFE"/>
    <w:rsid w:val="00F33CAE"/>
    <w:rsid w:val="00F43A5C"/>
    <w:rsid w:val="00F64F44"/>
    <w:rsid w:val="00F6788B"/>
    <w:rsid w:val="00F72B55"/>
    <w:rsid w:val="00F74086"/>
    <w:rsid w:val="00F76A7A"/>
    <w:rsid w:val="00FA2AF3"/>
    <w:rsid w:val="00FA513F"/>
    <w:rsid w:val="00FB50DC"/>
    <w:rsid w:val="00FB5477"/>
    <w:rsid w:val="00FC0A32"/>
    <w:rsid w:val="00FC2703"/>
    <w:rsid w:val="00FC56CA"/>
    <w:rsid w:val="00FD1877"/>
    <w:rsid w:val="00FD2154"/>
    <w:rsid w:val="00FD7F1E"/>
    <w:rsid w:val="00FE2077"/>
    <w:rsid w:val="00FE277F"/>
    <w:rsid w:val="00FE278F"/>
    <w:rsid w:val="00FE4185"/>
    <w:rsid w:val="00FE6FD0"/>
    <w:rsid w:val="00FE7832"/>
    <w:rsid w:val="00FF12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FCD2DD-6C4E-4CD9-AFDA-8DE73D86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i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C19"/>
    <w:rPr>
      <w:sz w:val="24"/>
      <w:szCs w:val="24"/>
      <w:lang w:eastAsia="ru-RU"/>
    </w:rPr>
  </w:style>
  <w:style w:type="character" w:default="1" w:styleId="a0">
    <w:name w:val="Default Paragraph Font"/>
    <w:link w:val="CarCharC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rCharCar">
    <w:name w:val="Car Char Car Знак"/>
    <w:basedOn w:val="a"/>
    <w:link w:val="a0"/>
    <w:rsid w:val="00DE5C19"/>
    <w:pPr>
      <w:spacing w:after="160" w:line="240" w:lineRule="exact"/>
    </w:pPr>
    <w:rPr>
      <w:rFonts w:ascii="Arial" w:hAnsi="Arial" w:cs="Arial"/>
      <w:sz w:val="20"/>
      <w:szCs w:val="20"/>
      <w:lang w:val="en-US" w:eastAsia="en-US"/>
    </w:rPr>
  </w:style>
  <w:style w:type="paragraph" w:styleId="a3">
    <w:name w:val="footer"/>
    <w:basedOn w:val="a"/>
    <w:rsid w:val="00DE5C19"/>
    <w:pPr>
      <w:tabs>
        <w:tab w:val="center" w:pos="4819"/>
        <w:tab w:val="right" w:pos="9639"/>
      </w:tabs>
    </w:pPr>
  </w:style>
  <w:style w:type="character" w:styleId="a4">
    <w:name w:val="page number"/>
    <w:basedOn w:val="a0"/>
    <w:rsid w:val="00DE5C19"/>
  </w:style>
  <w:style w:type="paragraph" w:styleId="a5">
    <w:name w:val="No Spacing"/>
    <w:uiPriority w:val="1"/>
    <w:qFormat/>
    <w:rsid w:val="00BF287B"/>
    <w:rPr>
      <w:sz w:val="24"/>
      <w:szCs w:val="24"/>
      <w:lang w:val="ru-RU" w:eastAsia="ru-RU"/>
    </w:rPr>
  </w:style>
  <w:style w:type="paragraph" w:customStyle="1" w:styleId="a6">
    <w:name w:val="a"/>
    <w:basedOn w:val="a"/>
    <w:uiPriority w:val="99"/>
    <w:rsid w:val="00BF287B"/>
    <w:pPr>
      <w:spacing w:before="100" w:beforeAutospacing="1" w:after="100" w:afterAutospacing="1"/>
    </w:pPr>
    <w:rPr>
      <w:lang w:eastAsia="uk-UA"/>
    </w:rPr>
  </w:style>
  <w:style w:type="character" w:customStyle="1" w:styleId="spelle">
    <w:name w:val="spelle"/>
    <w:uiPriority w:val="99"/>
    <w:rsid w:val="00BF287B"/>
    <w:rPr>
      <w:rFonts w:ascii="Times New Roman" w:hAnsi="Times New Roman" w:cs="Times New Roman" w:hint="default"/>
    </w:rPr>
  </w:style>
  <w:style w:type="paragraph" w:styleId="a7">
    <w:name w:val="Balloon Text"/>
    <w:basedOn w:val="a"/>
    <w:link w:val="a8"/>
    <w:rsid w:val="002933A9"/>
    <w:rPr>
      <w:rFonts w:ascii="Tahoma" w:hAnsi="Tahoma" w:cs="Tahoma"/>
      <w:sz w:val="16"/>
      <w:szCs w:val="16"/>
    </w:rPr>
  </w:style>
  <w:style w:type="character" w:customStyle="1" w:styleId="a8">
    <w:name w:val="Текст у виносці Знак"/>
    <w:link w:val="a7"/>
    <w:rsid w:val="002933A9"/>
    <w:rPr>
      <w:rFonts w:ascii="Tahoma" w:hAnsi="Tahoma" w:cs="Tahoma"/>
      <w:sz w:val="16"/>
      <w:szCs w:val="16"/>
      <w:lang w:eastAsia="ru-RU"/>
    </w:rPr>
  </w:style>
  <w:style w:type="paragraph" w:styleId="a9">
    <w:name w:val="Body Text"/>
    <w:basedOn w:val="a"/>
    <w:link w:val="aa"/>
    <w:uiPriority w:val="99"/>
    <w:rsid w:val="00F33CAE"/>
    <w:pPr>
      <w:spacing w:after="120"/>
    </w:pPr>
    <w:rPr>
      <w:lang w:val="ru-RU"/>
    </w:rPr>
  </w:style>
  <w:style w:type="character" w:customStyle="1" w:styleId="aa">
    <w:name w:val="Основний текст Знак"/>
    <w:link w:val="a9"/>
    <w:uiPriority w:val="99"/>
    <w:rsid w:val="00F33CAE"/>
    <w:rPr>
      <w:sz w:val="24"/>
      <w:szCs w:val="24"/>
      <w:lang w:val="ru-RU" w:eastAsia="ru-RU"/>
    </w:rPr>
  </w:style>
  <w:style w:type="table" w:styleId="ab">
    <w:name w:val="Table Grid"/>
    <w:basedOn w:val="a1"/>
    <w:uiPriority w:val="99"/>
    <w:rsid w:val="00F33CA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Текст Знак1"/>
    <w:link w:val="ac"/>
    <w:uiPriority w:val="99"/>
    <w:locked/>
    <w:rsid w:val="00F33CAE"/>
    <w:rPr>
      <w:rFonts w:ascii="Courier New" w:hAnsi="Courier New"/>
      <w:lang w:val="x-none" w:eastAsia="ru-RU"/>
    </w:rPr>
  </w:style>
  <w:style w:type="paragraph" w:styleId="ac">
    <w:name w:val="Plain Text"/>
    <w:basedOn w:val="a"/>
    <w:link w:val="1"/>
    <w:uiPriority w:val="99"/>
    <w:rsid w:val="00F33CAE"/>
    <w:rPr>
      <w:rFonts w:ascii="Courier New" w:hAnsi="Courier New"/>
      <w:sz w:val="20"/>
      <w:szCs w:val="20"/>
      <w:lang w:val="x-none"/>
    </w:rPr>
  </w:style>
  <w:style w:type="character" w:customStyle="1" w:styleId="ad">
    <w:name w:val="Текст Знак"/>
    <w:rsid w:val="00F33CAE"/>
    <w:rPr>
      <w:rFonts w:ascii="Courier New" w:hAnsi="Courier New" w:cs="Courier New"/>
      <w:lang w:eastAsia="ru-RU"/>
    </w:rPr>
  </w:style>
  <w:style w:type="paragraph" w:styleId="2">
    <w:name w:val="Body Text Indent 2"/>
    <w:basedOn w:val="a"/>
    <w:link w:val="20"/>
    <w:rsid w:val="00E50EAA"/>
    <w:pPr>
      <w:spacing w:after="120" w:line="480" w:lineRule="auto"/>
      <w:ind w:left="283"/>
    </w:pPr>
  </w:style>
  <w:style w:type="character" w:customStyle="1" w:styleId="20">
    <w:name w:val="Основний текст з відступом 2 Знак"/>
    <w:link w:val="2"/>
    <w:rsid w:val="00E50EAA"/>
    <w:rPr>
      <w:sz w:val="24"/>
      <w:szCs w:val="24"/>
      <w:lang w:val="uk-UA"/>
    </w:rPr>
  </w:style>
  <w:style w:type="paragraph" w:styleId="ae">
    <w:name w:val="Revision"/>
    <w:hidden/>
    <w:uiPriority w:val="99"/>
    <w:semiHidden/>
    <w:rsid w:val="00662AB7"/>
    <w:rPr>
      <w:sz w:val="24"/>
      <w:szCs w:val="24"/>
      <w:lang w:eastAsia="ru-RU"/>
    </w:rPr>
  </w:style>
  <w:style w:type="paragraph" w:styleId="af">
    <w:name w:val="List Paragraph"/>
    <w:basedOn w:val="a"/>
    <w:uiPriority w:val="34"/>
    <w:qFormat/>
    <w:rsid w:val="00DB3B4C"/>
    <w:pPr>
      <w:ind w:left="720"/>
      <w:contextualSpacing/>
    </w:pPr>
    <w:rPr>
      <w:lang w:val="ru-RU"/>
    </w:rPr>
  </w:style>
  <w:style w:type="paragraph" w:customStyle="1" w:styleId="rvps2">
    <w:name w:val="rvps2"/>
    <w:basedOn w:val="a"/>
    <w:rsid w:val="00836FEE"/>
    <w:pPr>
      <w:spacing w:before="100" w:beforeAutospacing="1" w:after="100" w:afterAutospacing="1"/>
    </w:pPr>
    <w:rPr>
      <w:lang w:val="ru-RU"/>
    </w:rPr>
  </w:style>
  <w:style w:type="character" w:styleId="af0">
    <w:name w:val="Hyperlink"/>
    <w:uiPriority w:val="99"/>
    <w:unhideWhenUsed/>
    <w:rsid w:val="002E31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767361">
      <w:bodyDiv w:val="1"/>
      <w:marLeft w:val="0"/>
      <w:marRight w:val="0"/>
      <w:marTop w:val="0"/>
      <w:marBottom w:val="0"/>
      <w:divBdr>
        <w:top w:val="none" w:sz="0" w:space="0" w:color="auto"/>
        <w:left w:val="none" w:sz="0" w:space="0" w:color="auto"/>
        <w:bottom w:val="none" w:sz="0" w:space="0" w:color="auto"/>
        <w:right w:val="none" w:sz="0" w:space="0" w:color="auto"/>
      </w:divBdr>
    </w:div>
    <w:div w:id="1087113290">
      <w:bodyDiv w:val="1"/>
      <w:marLeft w:val="0"/>
      <w:marRight w:val="0"/>
      <w:marTop w:val="0"/>
      <w:marBottom w:val="0"/>
      <w:divBdr>
        <w:top w:val="none" w:sz="0" w:space="0" w:color="auto"/>
        <w:left w:val="none" w:sz="0" w:space="0" w:color="auto"/>
        <w:bottom w:val="none" w:sz="0" w:space="0" w:color="auto"/>
        <w:right w:val="none" w:sz="0" w:space="0" w:color="auto"/>
      </w:divBdr>
    </w:div>
    <w:div w:id="1728869143">
      <w:bodyDiv w:val="1"/>
      <w:marLeft w:val="0"/>
      <w:marRight w:val="0"/>
      <w:marTop w:val="0"/>
      <w:marBottom w:val="0"/>
      <w:divBdr>
        <w:top w:val="none" w:sz="0" w:space="0" w:color="auto"/>
        <w:left w:val="none" w:sz="0" w:space="0" w:color="auto"/>
        <w:bottom w:val="none" w:sz="0" w:space="0" w:color="auto"/>
        <w:right w:val="none" w:sz="0" w:space="0" w:color="auto"/>
      </w:divBdr>
    </w:div>
    <w:div w:id="213648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46FF4-CEC8-4110-8DD0-27B58256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9161</Words>
  <Characters>5222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1</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MYKHAYLYUK</dc:creator>
  <cp:keywords/>
  <cp:lastModifiedBy>Бончева Вікторія Валеріївна</cp:lastModifiedBy>
  <cp:revision>2</cp:revision>
  <cp:lastPrinted>2019-12-04T09:47:00Z</cp:lastPrinted>
  <dcterms:created xsi:type="dcterms:W3CDTF">2020-01-27T13:13:00Z</dcterms:created>
  <dcterms:modified xsi:type="dcterms:W3CDTF">2020-01-27T13:13:00Z</dcterms:modified>
</cp:coreProperties>
</file>