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413E9" w:rsidP="00981EBA">
      <w:pPr>
        <w:bidi w:val="0"/>
        <w:spacing w:after="0"/>
        <w:rPr>
          <w:rFonts w:ascii="Times New Roman" w:hAnsi="Times New Roman" w:cs="Times New Roman"/>
          <w:b/>
          <w:bCs/>
          <w:sz w:val="28"/>
          <w:szCs w:val="28"/>
          <w:lang w:eastAsia="ru-RU"/>
        </w:rPr>
      </w:pPr>
    </w:p>
    <w:p w:rsidR="00C14957" w:rsidP="00002747">
      <w:pPr>
        <w:bidi w:val="0"/>
        <w:spacing w:after="0"/>
        <w:jc w:val="center"/>
        <w:rPr>
          <w:rFonts w:ascii="Times New Roman" w:hAnsi="Times New Roman" w:cs="Times New Roman"/>
          <w:b/>
          <w:bCs/>
          <w:sz w:val="28"/>
          <w:szCs w:val="28"/>
          <w:lang w:eastAsia="ru-RU"/>
        </w:rPr>
      </w:pPr>
      <w:r w:rsidRPr="00002747">
        <w:rPr>
          <w:rFonts w:ascii="Times New Roman" w:hAnsi="Times New Roman" w:cs="Times New Roman"/>
          <w:b/>
          <w:bCs/>
          <w:sz w:val="28"/>
          <w:szCs w:val="28"/>
          <w:lang w:eastAsia="ru-RU"/>
        </w:rPr>
        <w:t>ПОРІВНЯЛЬНА ТАБЛИЦЯ</w:t>
      </w:r>
    </w:p>
    <w:p w:rsidR="00532269" w:rsidP="00532269">
      <w:pPr>
        <w:bidi w:val="0"/>
        <w:spacing w:after="0" w:line="240" w:lineRule="auto"/>
        <w:jc w:val="center"/>
        <w:rPr>
          <w:rFonts w:ascii="Times New Roman" w:hAnsi="Times New Roman" w:cs="Times New Roman"/>
          <w:b/>
          <w:bCs/>
          <w:sz w:val="28"/>
          <w:szCs w:val="28"/>
          <w:lang w:eastAsia="ru-RU"/>
        </w:rPr>
      </w:pPr>
      <w:bookmarkStart w:id="0" w:name="_Hlk17414272"/>
      <w:r w:rsidRPr="00981EBA" w:rsidR="00981EBA">
        <w:rPr>
          <w:rFonts w:ascii="Times New Roman" w:hAnsi="Times New Roman" w:cs="Times New Roman"/>
          <w:b/>
          <w:bCs/>
          <w:sz w:val="28"/>
          <w:szCs w:val="28"/>
          <w:lang w:eastAsia="ru-RU"/>
        </w:rPr>
        <w:t xml:space="preserve">до проекту Закону України «Про внесення змін до </w:t>
      </w:r>
      <w:r w:rsidRPr="0092339A" w:rsidR="0092339A">
        <w:rPr>
          <w:rFonts w:ascii="Times New Roman" w:hAnsi="Times New Roman" w:cs="Times New Roman"/>
          <w:b/>
          <w:bCs/>
          <w:sz w:val="28"/>
          <w:szCs w:val="28"/>
          <w:lang w:eastAsia="ru-RU"/>
        </w:rPr>
        <w:t>деяких законодавчих акт</w:t>
      </w:r>
      <w:r w:rsidR="0092339A">
        <w:rPr>
          <w:rFonts w:ascii="Times New Roman" w:hAnsi="Times New Roman" w:cs="Times New Roman"/>
          <w:b/>
          <w:bCs/>
          <w:sz w:val="28"/>
          <w:szCs w:val="28"/>
          <w:lang w:eastAsia="ru-RU"/>
        </w:rPr>
        <w:t>і</w:t>
      </w:r>
      <w:r w:rsidRPr="0092339A" w:rsidR="0092339A">
        <w:rPr>
          <w:rFonts w:ascii="Times New Roman" w:hAnsi="Times New Roman" w:cs="Times New Roman"/>
          <w:b/>
          <w:bCs/>
          <w:sz w:val="28"/>
          <w:szCs w:val="28"/>
          <w:lang w:eastAsia="ru-RU"/>
        </w:rPr>
        <w:t>в Укра</w:t>
      </w:r>
      <w:r w:rsidR="0092339A">
        <w:rPr>
          <w:rFonts w:ascii="Times New Roman" w:hAnsi="Times New Roman" w:cs="Times New Roman"/>
          <w:b/>
          <w:bCs/>
          <w:sz w:val="28"/>
          <w:szCs w:val="28"/>
          <w:lang w:eastAsia="ru-RU"/>
        </w:rPr>
        <w:t>ї</w:t>
      </w:r>
      <w:r w:rsidRPr="0092339A" w:rsidR="0092339A">
        <w:rPr>
          <w:rFonts w:ascii="Times New Roman" w:hAnsi="Times New Roman" w:cs="Times New Roman"/>
          <w:b/>
          <w:bCs/>
          <w:sz w:val="28"/>
          <w:szCs w:val="28"/>
          <w:lang w:eastAsia="ru-RU"/>
        </w:rPr>
        <w:t>ни</w:t>
      </w:r>
    </w:p>
    <w:p w:rsidR="00225D17" w:rsidRPr="00667904" w:rsidP="00532269">
      <w:pPr>
        <w:bidi w:val="0"/>
        <w:spacing w:after="0" w:line="240" w:lineRule="auto"/>
        <w:jc w:val="center"/>
        <w:rPr>
          <w:rFonts w:ascii="Times New Roman" w:hAnsi="Times New Roman" w:cs="Times New Roman"/>
          <w:b/>
          <w:bCs/>
          <w:sz w:val="28"/>
          <w:szCs w:val="28"/>
        </w:rPr>
      </w:pPr>
      <w:r w:rsidRPr="00981EBA" w:rsidR="00981EBA">
        <w:rPr>
          <w:rFonts w:ascii="Times New Roman" w:hAnsi="Times New Roman" w:cs="Times New Roman"/>
          <w:b/>
          <w:bCs/>
          <w:sz w:val="28"/>
          <w:szCs w:val="28"/>
          <w:lang w:eastAsia="ru-RU"/>
        </w:rPr>
        <w:t xml:space="preserve"> (щодо </w:t>
      </w:r>
      <w:r w:rsidR="00532269">
        <w:rPr>
          <w:rFonts w:ascii="Times New Roman" w:hAnsi="Times New Roman" w:cs="Times New Roman"/>
          <w:b/>
          <w:bCs/>
          <w:sz w:val="28"/>
          <w:szCs w:val="28"/>
          <w:lang w:eastAsia="ru-RU"/>
        </w:rPr>
        <w:t xml:space="preserve">посилення захисту </w:t>
      </w:r>
      <w:r w:rsidRPr="00981EBA" w:rsidR="00981EBA">
        <w:rPr>
          <w:rFonts w:ascii="Times New Roman" w:hAnsi="Times New Roman" w:cs="Times New Roman"/>
          <w:b/>
          <w:bCs/>
          <w:sz w:val="28"/>
          <w:szCs w:val="28"/>
          <w:lang w:eastAsia="ru-RU"/>
        </w:rPr>
        <w:t>телекомунікаційн</w:t>
      </w:r>
      <w:r w:rsidR="00532269">
        <w:rPr>
          <w:rFonts w:ascii="Times New Roman" w:hAnsi="Times New Roman" w:cs="Times New Roman"/>
          <w:b/>
          <w:bCs/>
          <w:sz w:val="28"/>
          <w:szCs w:val="28"/>
          <w:lang w:eastAsia="ru-RU"/>
        </w:rPr>
        <w:t>их</w:t>
      </w:r>
      <w:r w:rsidRPr="00981EBA" w:rsidR="00981EBA">
        <w:rPr>
          <w:rFonts w:ascii="Times New Roman" w:hAnsi="Times New Roman" w:cs="Times New Roman"/>
          <w:b/>
          <w:bCs/>
          <w:sz w:val="28"/>
          <w:szCs w:val="28"/>
          <w:lang w:eastAsia="ru-RU"/>
        </w:rPr>
        <w:t xml:space="preserve"> мереж</w:t>
      </w:r>
      <w:r w:rsidR="00981EBA">
        <w:rPr>
          <w:rFonts w:ascii="Times New Roman" w:hAnsi="Times New Roman" w:cs="Times New Roman"/>
          <w:b/>
          <w:bCs/>
          <w:sz w:val="28"/>
          <w:szCs w:val="28"/>
          <w:lang w:eastAsia="ru-RU"/>
        </w:rPr>
        <w:t>)».</w:t>
      </w:r>
    </w:p>
    <w:tbl>
      <w:tblPr>
        <w:tblStyle w:val="TableNormal"/>
        <w:tblW w:w="0" w:type="auto"/>
        <w:tblLayout w:type="fixed"/>
      </w:tblPr>
      <w:tblGrid>
        <w:gridCol w:w="7622"/>
        <w:gridCol w:w="7623"/>
      </w:tblGrid>
      <w:tr>
        <w:tblPrEx>
          <w:tblW w:w="0" w:type="auto"/>
          <w:tblLayout w:type="fixed"/>
        </w:tblPrEx>
        <w:tc>
          <w:tcPr>
            <w:tcW w:w="7622" w:type="dxa"/>
            <w:tcBorders>
              <w:top w:val="single" w:sz="4" w:space="0" w:color="00000A"/>
              <w:left w:val="single" w:sz="4" w:space="0" w:color="00000A"/>
              <w:bottom w:val="single" w:sz="4" w:space="0" w:color="00000A"/>
              <w:right w:val="single" w:sz="4" w:space="0" w:color="auto"/>
            </w:tcBorders>
            <w:textDirection w:val="lrTb"/>
            <w:vAlign w:val="top"/>
          </w:tcPr>
          <w:p w:rsidR="002720C4" w:rsidP="00532269">
            <w:pPr>
              <w:bidi w:val="0"/>
              <w:spacing w:after="0" w:line="240" w:lineRule="auto"/>
              <w:jc w:val="center"/>
              <w:rPr>
                <w:rFonts w:ascii="Times New Roman" w:hAnsi="Times New Roman" w:cs="Times New Roman"/>
                <w:b/>
                <w:bCs/>
                <w:sz w:val="28"/>
                <w:szCs w:val="28"/>
              </w:rPr>
            </w:pPr>
            <w:bookmarkEnd w:id="0"/>
          </w:p>
          <w:p w:rsidR="00C14957" w:rsidP="00532269">
            <w:pPr>
              <w:bidi w:val="0"/>
              <w:spacing w:after="0" w:line="240" w:lineRule="auto"/>
              <w:jc w:val="center"/>
              <w:rPr>
                <w:rFonts w:ascii="Times New Roman" w:hAnsi="Times New Roman" w:cs="Times New Roman"/>
                <w:b/>
                <w:bCs/>
                <w:sz w:val="28"/>
                <w:szCs w:val="28"/>
              </w:rPr>
            </w:pPr>
            <w:r w:rsidRPr="00002747">
              <w:rPr>
                <w:rFonts w:ascii="Times New Roman" w:hAnsi="Times New Roman" w:cs="Times New Roman"/>
                <w:b/>
                <w:bCs/>
                <w:sz w:val="28"/>
                <w:szCs w:val="28"/>
              </w:rPr>
              <w:t>Зміст положення (норми) чинного законодавства</w:t>
            </w:r>
          </w:p>
          <w:p w:rsidR="002720C4" w:rsidRPr="00002747" w:rsidP="00532269">
            <w:pPr>
              <w:bidi w:val="0"/>
              <w:spacing w:after="0" w:line="240" w:lineRule="auto"/>
              <w:jc w:val="center"/>
              <w:rPr>
                <w:rFonts w:ascii="Times New Roman" w:hAnsi="Times New Roman" w:cs="Times New Roman"/>
                <w:sz w:val="28"/>
                <w:szCs w:val="28"/>
              </w:rPr>
            </w:pPr>
          </w:p>
        </w:tc>
        <w:tc>
          <w:tcPr>
            <w:tcW w:w="7623" w:type="dxa"/>
            <w:tcBorders>
              <w:top w:val="single" w:sz="4" w:space="0" w:color="00000A"/>
              <w:left w:val="single" w:sz="4" w:space="0" w:color="auto"/>
              <w:bottom w:val="single" w:sz="4" w:space="0" w:color="00000A"/>
              <w:right w:val="single" w:sz="4" w:space="0" w:color="auto"/>
            </w:tcBorders>
            <w:textDirection w:val="lrTb"/>
            <w:vAlign w:val="top"/>
          </w:tcPr>
          <w:p w:rsidR="002720C4" w:rsidP="00532269">
            <w:pPr>
              <w:bidi w:val="0"/>
              <w:spacing w:after="0" w:line="240" w:lineRule="auto"/>
              <w:jc w:val="center"/>
              <w:rPr>
                <w:rFonts w:ascii="Times New Roman" w:hAnsi="Times New Roman" w:cs="Times New Roman"/>
                <w:b/>
                <w:bCs/>
                <w:sz w:val="28"/>
                <w:szCs w:val="28"/>
              </w:rPr>
            </w:pPr>
          </w:p>
          <w:p w:rsidR="00C14957" w:rsidP="00532269">
            <w:pPr>
              <w:bidi w:val="0"/>
              <w:spacing w:after="0" w:line="240" w:lineRule="auto"/>
              <w:jc w:val="center"/>
              <w:rPr>
                <w:rFonts w:ascii="Times New Roman" w:hAnsi="Times New Roman" w:cs="Times New Roman"/>
                <w:b/>
                <w:bCs/>
                <w:sz w:val="28"/>
                <w:szCs w:val="28"/>
              </w:rPr>
            </w:pPr>
            <w:r w:rsidRPr="00002747">
              <w:rPr>
                <w:rFonts w:ascii="Times New Roman" w:hAnsi="Times New Roman" w:cs="Times New Roman"/>
                <w:b/>
                <w:bCs/>
                <w:sz w:val="28"/>
                <w:szCs w:val="28"/>
              </w:rPr>
              <w:t>Зміст відповідного положення (норми)</w:t>
            </w:r>
            <w:r w:rsidRPr="00002747" w:rsidR="002E4DE9">
              <w:rPr>
                <w:rFonts w:ascii="Times New Roman" w:hAnsi="Times New Roman" w:cs="Times New Roman"/>
                <w:b/>
                <w:bCs/>
                <w:sz w:val="28"/>
                <w:szCs w:val="28"/>
              </w:rPr>
              <w:t xml:space="preserve"> </w:t>
            </w:r>
            <w:r w:rsidRPr="00002747">
              <w:rPr>
                <w:rFonts w:ascii="Times New Roman" w:hAnsi="Times New Roman" w:cs="Times New Roman"/>
                <w:b/>
                <w:bCs/>
                <w:sz w:val="28"/>
                <w:szCs w:val="28"/>
              </w:rPr>
              <w:t>проекту акта</w:t>
            </w:r>
          </w:p>
          <w:p w:rsidR="00002747" w:rsidRPr="00002747" w:rsidP="00532269">
            <w:pPr>
              <w:bidi w:val="0"/>
              <w:spacing w:after="0" w:line="240" w:lineRule="auto"/>
              <w:jc w:val="center"/>
              <w:rPr>
                <w:rFonts w:ascii="Times New Roman" w:hAnsi="Times New Roman" w:cs="Times New Roman"/>
                <w:sz w:val="28"/>
                <w:szCs w:val="28"/>
              </w:rPr>
            </w:pPr>
          </w:p>
        </w:tc>
      </w:tr>
      <w:tr>
        <w:tblPrEx>
          <w:tblW w:w="0" w:type="auto"/>
          <w:tblLayout w:type="fixed"/>
        </w:tblPrEx>
        <w:tc>
          <w:tcPr>
            <w:tcW w:w="15245" w:type="dxa"/>
            <w:gridSpan w:val="2"/>
            <w:tcBorders>
              <w:top w:val="single" w:sz="4" w:space="0" w:color="00000A"/>
              <w:left w:val="single" w:sz="4" w:space="0" w:color="00000A"/>
              <w:bottom w:val="single" w:sz="4" w:space="0" w:color="00000A"/>
              <w:right w:val="single" w:sz="4" w:space="0" w:color="auto"/>
            </w:tcBorders>
            <w:textDirection w:val="lrTb"/>
            <w:vAlign w:val="top"/>
          </w:tcPr>
          <w:p w:rsidR="00532269" w:rsidRPr="00532269" w:rsidP="00532269">
            <w:pPr>
              <w:bidi w:val="0"/>
              <w:spacing w:after="0" w:line="240" w:lineRule="auto"/>
              <w:jc w:val="center"/>
              <w:rPr>
                <w:rFonts w:ascii="Times New Roman" w:hAnsi="Times New Roman" w:cs="Times New Roman"/>
                <w:b/>
                <w:bCs/>
                <w:sz w:val="28"/>
                <w:szCs w:val="28"/>
              </w:rPr>
            </w:pPr>
            <w:r w:rsidRPr="00532269">
              <w:rPr>
                <w:rFonts w:ascii="Times New Roman" w:hAnsi="Times New Roman" w:cs="Times New Roman"/>
                <w:b/>
                <w:bCs/>
                <w:sz w:val="28"/>
                <w:szCs w:val="28"/>
              </w:rPr>
              <w:t>Кодекс України про адміністративні правопорушення</w:t>
            </w:r>
          </w:p>
          <w:p w:rsidR="00532269" w:rsidP="00532269">
            <w:pPr>
              <w:bidi w:val="0"/>
              <w:spacing w:after="0" w:line="240" w:lineRule="auto"/>
              <w:jc w:val="center"/>
              <w:rPr>
                <w:rFonts w:ascii="Times New Roman" w:hAnsi="Times New Roman" w:cs="Times New Roman"/>
                <w:b/>
                <w:bCs/>
                <w:sz w:val="28"/>
                <w:szCs w:val="28"/>
              </w:rPr>
            </w:pPr>
            <w:r w:rsidRPr="00532269">
              <w:rPr>
                <w:rFonts w:ascii="Times New Roman" w:hAnsi="Times New Roman" w:cs="Times New Roman"/>
                <w:b/>
                <w:bCs/>
                <w:sz w:val="28"/>
                <w:szCs w:val="28"/>
              </w:rPr>
              <w:t>(Відомості Верховної Ради Української РСР (ВВР) 1984, додаток до № 51, ст.1122 зі змінами)</w:t>
            </w:r>
          </w:p>
        </w:tc>
      </w:tr>
      <w:tr>
        <w:tblPrEx>
          <w:tblW w:w="0" w:type="auto"/>
          <w:tblLayout w:type="fixed"/>
        </w:tblPrEx>
        <w:tc>
          <w:tcPr>
            <w:tcW w:w="7622" w:type="dxa"/>
            <w:tcBorders>
              <w:top w:val="single" w:sz="4" w:space="0" w:color="00000A"/>
              <w:left w:val="single" w:sz="4" w:space="0" w:color="00000A"/>
              <w:bottom w:val="single" w:sz="4" w:space="0" w:color="00000A"/>
              <w:right w:val="single" w:sz="4" w:space="0" w:color="auto"/>
            </w:tcBorders>
            <w:textDirection w:val="lrTb"/>
            <w:vAlign w:val="top"/>
          </w:tcPr>
          <w:p w:rsidR="00532269" w:rsidP="00532269">
            <w:pPr>
              <w:bidi w:val="0"/>
              <w:spacing w:before="240" w:after="0" w:line="240" w:lineRule="auto"/>
              <w:jc w:val="both"/>
              <w:rPr>
                <w:rFonts w:ascii="Times New Roman" w:hAnsi="Times New Roman" w:cs="Times New Roman"/>
                <w:sz w:val="28"/>
                <w:szCs w:val="28"/>
              </w:rPr>
            </w:pPr>
            <w:r w:rsidRPr="00532269">
              <w:rPr>
                <w:rFonts w:ascii="Times New Roman" w:hAnsi="Times New Roman" w:cs="Times New Roman"/>
                <w:sz w:val="28"/>
                <w:szCs w:val="28"/>
              </w:rPr>
              <w:t>Стаття 147. Порушення правил охорони ліній і споруд зв'язку</w:t>
            </w:r>
          </w:p>
          <w:p w:rsidR="00532269" w:rsidRPr="00532269" w:rsidP="00532269">
            <w:pPr>
              <w:bidi w:val="0"/>
              <w:spacing w:before="240" w:after="0" w:line="240" w:lineRule="auto"/>
              <w:jc w:val="both"/>
              <w:rPr>
                <w:rFonts w:ascii="Times New Roman" w:hAnsi="Times New Roman" w:cs="Times New Roman"/>
                <w:sz w:val="28"/>
                <w:szCs w:val="28"/>
              </w:rPr>
            </w:pPr>
          </w:p>
          <w:p w:rsidR="00532269" w:rsidRPr="00532269" w:rsidP="00532269">
            <w:pPr>
              <w:bidi w:val="0"/>
              <w:spacing w:before="240" w:after="0" w:line="240" w:lineRule="auto"/>
              <w:jc w:val="both"/>
              <w:rPr>
                <w:rFonts w:ascii="Times New Roman" w:hAnsi="Times New Roman" w:cs="Times New Roman"/>
                <w:sz w:val="28"/>
                <w:szCs w:val="28"/>
              </w:rPr>
            </w:pPr>
            <w:r w:rsidRPr="00532269">
              <w:rPr>
                <w:rFonts w:ascii="Times New Roman" w:hAnsi="Times New Roman" w:cs="Times New Roman"/>
                <w:sz w:val="28"/>
                <w:szCs w:val="28"/>
              </w:rPr>
              <w:t>Порушення правил охорони ліній і споруд зв'язку або пошкодження кабельної, радіорелейної, повітряної лінії зв'язку, проводового мовлення або споруд чи обладнання, які входять до їх складу, якщо воно не викликало припинення зв'язку, -</w:t>
            </w:r>
          </w:p>
          <w:p w:rsidR="00532269" w:rsidP="00532269">
            <w:pPr>
              <w:bidi w:val="0"/>
              <w:spacing w:before="240" w:after="0" w:line="240" w:lineRule="auto"/>
              <w:jc w:val="both"/>
              <w:rPr>
                <w:rFonts w:ascii="Times New Roman" w:hAnsi="Times New Roman" w:cs="Times New Roman"/>
                <w:b/>
                <w:bCs/>
                <w:sz w:val="28"/>
                <w:szCs w:val="28"/>
              </w:rPr>
            </w:pPr>
            <w:r w:rsidRPr="00532269">
              <w:rPr>
                <w:rFonts w:ascii="Times New Roman" w:hAnsi="Times New Roman" w:cs="Times New Roman"/>
                <w:sz w:val="28"/>
                <w:szCs w:val="28"/>
              </w:rPr>
              <w:t>тягне за собою накладення штрафу на громадян у розмірі від десяти до двадцяти неоподатковуваних мінімумів доходів громадян і на посадових осіб - у розмірі від п'ятдесяти до двохсот неоподатковуваних мінімумів доходів громадян.</w:t>
            </w:r>
          </w:p>
        </w:tc>
        <w:tc>
          <w:tcPr>
            <w:tcW w:w="7623" w:type="dxa"/>
            <w:tcBorders>
              <w:top w:val="single" w:sz="4" w:space="0" w:color="00000A"/>
              <w:left w:val="single" w:sz="4" w:space="0" w:color="auto"/>
              <w:bottom w:val="single" w:sz="4" w:space="0" w:color="00000A"/>
              <w:right w:val="single" w:sz="4" w:space="0" w:color="auto"/>
            </w:tcBorders>
            <w:textDirection w:val="lrTb"/>
            <w:vAlign w:val="top"/>
          </w:tcPr>
          <w:p w:rsidR="00532269" w:rsidRPr="00532269" w:rsidP="00532269">
            <w:pPr>
              <w:bidi w:val="0"/>
              <w:spacing w:before="240" w:after="0" w:line="240" w:lineRule="auto"/>
              <w:jc w:val="both"/>
              <w:rPr>
                <w:rFonts w:ascii="Times New Roman" w:hAnsi="Times New Roman" w:cs="Times New Roman"/>
                <w:b/>
                <w:bCs/>
                <w:sz w:val="28"/>
                <w:szCs w:val="28"/>
              </w:rPr>
            </w:pPr>
            <w:r w:rsidRPr="00532269">
              <w:rPr>
                <w:rFonts w:ascii="Times New Roman" w:hAnsi="Times New Roman" w:cs="Times New Roman"/>
                <w:b/>
                <w:bCs/>
                <w:sz w:val="28"/>
                <w:szCs w:val="28"/>
              </w:rPr>
              <w:t>Стаття 147. Порушення правил охорони телекомунікаційних мереж.</w:t>
            </w:r>
          </w:p>
          <w:p w:rsidR="00532269" w:rsidRPr="00532269" w:rsidP="00532269">
            <w:pPr>
              <w:bidi w:val="0"/>
              <w:spacing w:before="240" w:after="0" w:line="240" w:lineRule="auto"/>
              <w:jc w:val="both"/>
              <w:rPr>
                <w:rFonts w:ascii="Times New Roman" w:hAnsi="Times New Roman" w:cs="Times New Roman"/>
                <w:b/>
                <w:bCs/>
                <w:sz w:val="28"/>
                <w:szCs w:val="28"/>
              </w:rPr>
            </w:pPr>
            <w:r w:rsidRPr="00532269">
              <w:rPr>
                <w:rFonts w:ascii="Times New Roman" w:hAnsi="Times New Roman" w:cs="Times New Roman"/>
                <w:b/>
                <w:bCs/>
                <w:sz w:val="28"/>
                <w:szCs w:val="28"/>
              </w:rPr>
              <w:t xml:space="preserve">Порушення правил охорони телекомунікаційних мереж, або пошкодження телекомунікаційної мережі або технічних засобів телекомунікації чи споруд електрозв’язку, які входять до складу телекомунікаційної мережі, якщо воно не викликало припинення надання телекомунікаційних послуг, </w:t>
            </w:r>
            <w:r w:rsidRPr="007F7217" w:rsidR="007F7217">
              <w:rPr>
                <w:rFonts w:ascii="Times New Roman" w:hAnsi="Times New Roman" w:cs="Times New Roman"/>
                <w:b/>
                <w:bCs/>
                <w:sz w:val="28"/>
                <w:szCs w:val="28"/>
              </w:rPr>
              <w:t>–</w:t>
            </w:r>
          </w:p>
          <w:p w:rsidR="00532269" w:rsidP="00532269">
            <w:pPr>
              <w:bidi w:val="0"/>
              <w:spacing w:before="240" w:after="0" w:line="240" w:lineRule="auto"/>
              <w:jc w:val="both"/>
              <w:rPr>
                <w:rFonts w:ascii="Times New Roman" w:hAnsi="Times New Roman" w:cs="Times New Roman"/>
                <w:b/>
                <w:bCs/>
                <w:sz w:val="28"/>
                <w:szCs w:val="28"/>
              </w:rPr>
            </w:pPr>
            <w:r w:rsidRPr="00532269">
              <w:rPr>
                <w:rFonts w:ascii="Times New Roman" w:hAnsi="Times New Roman" w:cs="Times New Roman"/>
                <w:b/>
                <w:bCs/>
                <w:sz w:val="28"/>
                <w:szCs w:val="28"/>
              </w:rPr>
              <w:t xml:space="preserve">тягне за собою накладення штрафу на громадян у розмірі від ста до двохсот неоподатковуваних мінімумів доходів громадян і на посадових осіб </w:t>
            </w:r>
            <w:r w:rsidRPr="007F7217" w:rsidR="007F7217">
              <w:rPr>
                <w:rFonts w:ascii="Times New Roman" w:hAnsi="Times New Roman" w:cs="Times New Roman"/>
                <w:b/>
                <w:bCs/>
                <w:sz w:val="28"/>
                <w:szCs w:val="28"/>
              </w:rPr>
              <w:t>–</w:t>
            </w:r>
            <w:r w:rsidRPr="00532269">
              <w:rPr>
                <w:rFonts w:ascii="Times New Roman" w:hAnsi="Times New Roman" w:cs="Times New Roman"/>
                <w:b/>
                <w:bCs/>
                <w:sz w:val="28"/>
                <w:szCs w:val="28"/>
              </w:rPr>
              <w:t xml:space="preserve"> у розмірі від трьохсот до чотирьохсот неоподатковуваних мінімумів доходів громадян.</w:t>
            </w:r>
          </w:p>
        </w:tc>
      </w:tr>
      <w:tr>
        <w:tblPrEx>
          <w:tblW w:w="0" w:type="auto"/>
          <w:tblLayout w:type="fixed"/>
        </w:tblPrEx>
        <w:tc>
          <w:tcPr>
            <w:tcW w:w="15245" w:type="dxa"/>
            <w:gridSpan w:val="2"/>
            <w:tcBorders>
              <w:top w:val="single" w:sz="4" w:space="0" w:color="00000A"/>
              <w:left w:val="single" w:sz="4" w:space="0" w:color="00000A"/>
              <w:bottom w:val="single" w:sz="4" w:space="0" w:color="00000A"/>
              <w:right w:val="single" w:sz="4" w:space="0" w:color="auto"/>
            </w:tcBorders>
            <w:textDirection w:val="lrTb"/>
            <w:vAlign w:val="top"/>
          </w:tcPr>
          <w:p w:rsidR="002F1D05" w:rsidP="00532269">
            <w:pPr>
              <w:bidi w:val="0"/>
              <w:spacing w:after="0" w:line="240" w:lineRule="auto"/>
              <w:rPr>
                <w:rFonts w:ascii="Times New Roman" w:hAnsi="Times New Roman" w:cs="Times New Roman"/>
                <w:b/>
                <w:bCs/>
                <w:sz w:val="28"/>
                <w:szCs w:val="28"/>
              </w:rPr>
            </w:pPr>
          </w:p>
          <w:p w:rsidR="00007F34" w:rsidP="00532269">
            <w:pPr>
              <w:bidi w:val="0"/>
              <w:spacing w:after="0" w:line="240" w:lineRule="auto"/>
              <w:jc w:val="center"/>
              <w:rPr>
                <w:rFonts w:ascii="Times New Roman" w:hAnsi="Times New Roman" w:cs="Times New Roman"/>
                <w:b/>
                <w:bCs/>
                <w:sz w:val="28"/>
                <w:szCs w:val="28"/>
              </w:rPr>
            </w:pPr>
            <w:r w:rsidRPr="002F1D05" w:rsidR="004D782A">
              <w:rPr>
                <w:rFonts w:ascii="Times New Roman" w:hAnsi="Times New Roman" w:cs="Times New Roman"/>
                <w:b/>
                <w:bCs/>
                <w:sz w:val="28"/>
                <w:szCs w:val="28"/>
              </w:rPr>
              <w:t>Кримінальний кодекс України (Відомості Верховної Ради України, 2001 р., № 25-26, ст. 131 із змінами)</w:t>
            </w:r>
          </w:p>
          <w:p w:rsidR="002F1D05" w:rsidRPr="002F1D05" w:rsidP="00532269">
            <w:pPr>
              <w:bidi w:val="0"/>
              <w:spacing w:after="0" w:line="240" w:lineRule="auto"/>
              <w:jc w:val="center"/>
              <w:rPr>
                <w:rFonts w:ascii="Times New Roman" w:hAnsi="Times New Roman" w:cs="Times New Roman"/>
                <w:b/>
                <w:bCs/>
                <w:sz w:val="28"/>
                <w:szCs w:val="28"/>
              </w:rPr>
            </w:pPr>
          </w:p>
        </w:tc>
      </w:tr>
      <w:tr>
        <w:tblPrEx>
          <w:tblW w:w="0" w:type="auto"/>
          <w:tblLayout w:type="fixed"/>
        </w:tblPrEx>
        <w:trPr>
          <w:trHeight w:val="440"/>
        </w:trPr>
        <w:tc>
          <w:tcPr>
            <w:tcW w:w="7622" w:type="dxa"/>
            <w:tcBorders>
              <w:top w:val="single" w:sz="4" w:space="0" w:color="00000A"/>
              <w:left w:val="single" w:sz="4" w:space="0" w:color="00000A"/>
              <w:bottom w:val="single" w:sz="4" w:space="0" w:color="00000A"/>
              <w:right w:val="single" w:sz="4" w:space="0" w:color="00000A"/>
            </w:tcBorders>
            <w:textDirection w:val="lrTb"/>
            <w:vAlign w:val="top"/>
          </w:tcPr>
          <w:p w:rsidR="008126A0" w:rsidP="00532269">
            <w:pPr>
              <w:pStyle w:val="NoSpacing"/>
              <w:bidi w:val="0"/>
              <w:spacing w:before="240" w:after="0" w:line="240" w:lineRule="auto"/>
              <w:jc w:val="both"/>
              <w:rPr>
                <w:rFonts w:ascii="Times New Roman" w:hAnsi="Times New Roman" w:cs="Times New Roman"/>
                <w:sz w:val="28"/>
                <w:szCs w:val="28"/>
                <w:lang w:val="uk-UA"/>
              </w:rPr>
            </w:pPr>
            <w:r w:rsidRPr="004D782A" w:rsidR="004D782A">
              <w:rPr>
                <w:rFonts w:ascii="Times New Roman" w:hAnsi="Times New Roman" w:cs="Times New Roman"/>
                <w:sz w:val="28"/>
                <w:szCs w:val="28"/>
                <w:lang w:val="uk-UA"/>
              </w:rPr>
              <w:t xml:space="preserve">Стаття 360. Умисне пошкодження ліній </w:t>
            </w:r>
            <w:r w:rsidRPr="004D782A" w:rsidR="002904DD">
              <w:rPr>
                <w:rFonts w:ascii="Times New Roman" w:hAnsi="Times New Roman" w:cs="Times New Roman"/>
                <w:sz w:val="28"/>
                <w:szCs w:val="28"/>
                <w:lang w:val="uk-UA"/>
              </w:rPr>
              <w:t>зв’язку</w:t>
            </w:r>
            <w:r w:rsidR="00473FDE">
              <w:rPr>
                <w:rFonts w:ascii="Times New Roman" w:hAnsi="Times New Roman" w:cs="Times New Roman"/>
                <w:sz w:val="28"/>
                <w:szCs w:val="28"/>
                <w:lang w:val="uk-UA"/>
              </w:rPr>
              <w:t>.</w:t>
            </w:r>
          </w:p>
          <w:p w:rsidR="0092339A" w:rsidRPr="004D782A" w:rsidP="00532269">
            <w:pPr>
              <w:pStyle w:val="NoSpacing"/>
              <w:bidi w:val="0"/>
              <w:spacing w:before="240" w:after="0" w:line="240" w:lineRule="auto"/>
              <w:jc w:val="both"/>
              <w:rPr>
                <w:rFonts w:ascii="Times New Roman" w:hAnsi="Times New Roman" w:cs="Times New Roman"/>
                <w:sz w:val="28"/>
                <w:szCs w:val="28"/>
                <w:lang w:val="uk-UA"/>
              </w:rPr>
            </w:pPr>
          </w:p>
          <w:p w:rsidR="004D782A" w:rsidP="00532269">
            <w:pPr>
              <w:pStyle w:val="NoSpacing"/>
              <w:bidi w:val="0"/>
              <w:spacing w:before="240" w:after="0" w:line="240" w:lineRule="auto"/>
              <w:jc w:val="both"/>
              <w:rPr>
                <w:rFonts w:ascii="Times New Roman" w:hAnsi="Times New Roman" w:cs="Times New Roman"/>
                <w:sz w:val="28"/>
                <w:szCs w:val="28"/>
                <w:lang w:val="uk-UA"/>
              </w:rPr>
            </w:pPr>
            <w:r w:rsidRPr="004D782A">
              <w:rPr>
                <w:rFonts w:ascii="Times New Roman" w:hAnsi="Times New Roman" w:cs="Times New Roman"/>
                <w:sz w:val="28"/>
                <w:szCs w:val="28"/>
                <w:lang w:val="uk-UA"/>
              </w:rPr>
              <w:t>Умисне пошкодження кабельної, радіорелейної, повітряної лінії зв'язку, проводового мовлення або споруд чи обладнання, які входять до їх складу, якщо воно спричинило тимчасове припинення зв'язку, -</w:t>
            </w:r>
          </w:p>
          <w:p w:rsidR="00FA6674" w:rsidRPr="004D782A" w:rsidP="00532269">
            <w:pPr>
              <w:pStyle w:val="NoSpacing"/>
              <w:bidi w:val="0"/>
              <w:spacing w:before="240" w:after="0" w:line="240" w:lineRule="auto"/>
              <w:jc w:val="both"/>
              <w:rPr>
                <w:rFonts w:ascii="Times New Roman" w:hAnsi="Times New Roman" w:cs="Times New Roman"/>
                <w:sz w:val="28"/>
                <w:szCs w:val="28"/>
                <w:lang w:val="uk-UA"/>
              </w:rPr>
            </w:pPr>
          </w:p>
          <w:p w:rsidR="000E37E6" w:rsidRPr="00002747" w:rsidP="00532269">
            <w:pPr>
              <w:pStyle w:val="NoSpacing"/>
              <w:bidi w:val="0"/>
              <w:spacing w:before="240" w:after="0" w:line="240" w:lineRule="auto"/>
              <w:jc w:val="both"/>
              <w:rPr>
                <w:rFonts w:ascii="Times New Roman" w:hAnsi="Times New Roman" w:cs="Times New Roman"/>
                <w:sz w:val="28"/>
                <w:szCs w:val="28"/>
                <w:lang w:val="uk-UA"/>
              </w:rPr>
            </w:pPr>
            <w:r w:rsidRPr="004D782A" w:rsidR="004D782A">
              <w:rPr>
                <w:rFonts w:ascii="Times New Roman" w:hAnsi="Times New Roman" w:cs="Times New Roman"/>
                <w:sz w:val="28"/>
                <w:szCs w:val="28"/>
                <w:lang w:val="uk-UA"/>
              </w:rPr>
              <w:t>карається штрафом від ста до двохсот неоподатковуваних мінімумів доходів громадян або виправними роботами на строк до одного року, або обмеженням волі на строк до двох років.</w:t>
            </w:r>
          </w:p>
        </w:tc>
        <w:tc>
          <w:tcPr>
            <w:tcW w:w="7623" w:type="dxa"/>
            <w:tcBorders>
              <w:top w:val="single" w:sz="4" w:space="0" w:color="00000A"/>
              <w:left w:val="single" w:sz="4" w:space="0" w:color="00000A"/>
              <w:bottom w:val="single" w:sz="4" w:space="0" w:color="00000A"/>
              <w:right w:val="single" w:sz="4" w:space="0" w:color="00000A"/>
            </w:tcBorders>
            <w:textDirection w:val="lrTb"/>
            <w:vAlign w:val="top"/>
          </w:tcPr>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Стаття 360. Умисне пошкодження або руйнування телекомунікаційної мережі.</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 xml:space="preserve">1. Умисне пошкодження або руйнування телекомунікаційної мережі або технічних засобів телекомунікації чи споруд електрозв’язку, які входять до </w:t>
            </w:r>
            <w:r w:rsidR="008355F4">
              <w:rPr>
                <w:rFonts w:ascii="Times New Roman" w:hAnsi="Times New Roman" w:cs="Times New Roman"/>
                <w:b/>
                <w:bCs/>
                <w:sz w:val="28"/>
                <w:szCs w:val="28"/>
                <w:lang w:eastAsia="uk-UA"/>
              </w:rPr>
              <w:t xml:space="preserve">складу </w:t>
            </w:r>
            <w:r w:rsidRPr="0092339A">
              <w:rPr>
                <w:rFonts w:ascii="Times New Roman" w:hAnsi="Times New Roman" w:cs="Times New Roman"/>
                <w:b/>
                <w:bCs/>
                <w:sz w:val="28"/>
                <w:szCs w:val="28"/>
                <w:lang w:eastAsia="uk-UA"/>
              </w:rPr>
              <w:t xml:space="preserve">телекомунікаційної мережі, якщо такі дії спричинили припинення надання телекомунікаційних послуг – </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карається штрафом від однієї тисячі до трьох тисяч неоподатковуваних мінімумів доходів громадян або обмеженням волі на строк від одного до трьох років, або позбавленням волі на той самий строк.</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 xml:space="preserve">2. Ті самі дії, вчинені повторно або за попередньою змовою групою осіб, або загальнонебезпечним способом, </w:t>
            </w:r>
            <w:r w:rsidRPr="007F7217" w:rsidR="007F7217">
              <w:rPr>
                <w:rFonts w:ascii="Times New Roman" w:hAnsi="Times New Roman" w:cs="Times New Roman"/>
                <w:b/>
                <w:bCs/>
                <w:sz w:val="28"/>
                <w:szCs w:val="28"/>
                <w:lang w:eastAsia="uk-UA"/>
              </w:rPr>
              <w:t>–</w:t>
            </w:r>
            <w:r w:rsidRPr="0092339A">
              <w:rPr>
                <w:rFonts w:ascii="Times New Roman" w:hAnsi="Times New Roman" w:cs="Times New Roman"/>
                <w:b/>
                <w:bCs/>
                <w:sz w:val="28"/>
                <w:szCs w:val="28"/>
                <w:lang w:eastAsia="uk-UA"/>
              </w:rPr>
              <w:t xml:space="preserve">  </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караються позбавленням волі на строк від трьох до шести років.</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 xml:space="preserve">3. Дії, передбачені частинами першою або другою цієї статті, якщо вони завдали майнову шкоду у великих розмірах або спричинили тяжкі наслідки, </w:t>
            </w:r>
            <w:r w:rsidRPr="007F7217" w:rsidR="007F7217">
              <w:rPr>
                <w:rFonts w:ascii="Times New Roman" w:hAnsi="Times New Roman" w:cs="Times New Roman"/>
                <w:b/>
                <w:bCs/>
                <w:sz w:val="28"/>
                <w:szCs w:val="28"/>
                <w:lang w:eastAsia="uk-UA"/>
              </w:rPr>
              <w:t>–</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караються позбавленням волі на строк від шести до десяти років із конфіскацією майна.</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Примітка.</w:t>
            </w:r>
          </w:p>
          <w:p w:rsidR="0092339A" w:rsidRPr="0092339A" w:rsidP="00532269">
            <w:pPr>
              <w:pStyle w:val="1"/>
              <w:bidi w:val="0"/>
              <w:spacing w:before="240" w:after="0" w:line="240" w:lineRule="auto"/>
              <w:jc w:val="both"/>
              <w:rPr>
                <w:rFonts w:ascii="Times New Roman" w:hAnsi="Times New Roman" w:cs="Times New Roman"/>
                <w:b/>
                <w:bCs/>
                <w:sz w:val="28"/>
                <w:szCs w:val="28"/>
                <w:lang w:eastAsia="uk-UA"/>
              </w:rPr>
            </w:pPr>
            <w:r w:rsidRPr="0092339A">
              <w:rPr>
                <w:rFonts w:ascii="Times New Roman" w:hAnsi="Times New Roman" w:cs="Times New Roman"/>
                <w:b/>
                <w:bCs/>
                <w:sz w:val="28"/>
                <w:szCs w:val="28"/>
                <w:lang w:eastAsia="uk-UA"/>
              </w:rPr>
              <w:t>1. Відповідно до цієї статті майнова шкода визнається у великих розмірах, якщо вона в три тисячі і більше разів перевищує неоподатковуваний мінімум доходів громадян на момент вчинення злочину.</w:t>
            </w:r>
          </w:p>
          <w:p w:rsidR="000E37E6" w:rsidRPr="008126A0" w:rsidP="00532269">
            <w:pPr>
              <w:pStyle w:val="1"/>
              <w:bidi w:val="0"/>
              <w:spacing w:before="240" w:after="0" w:line="240" w:lineRule="auto"/>
              <w:jc w:val="both"/>
              <w:rPr>
                <w:rFonts w:ascii="Times New Roman" w:hAnsi="Times New Roman" w:cs="Times New Roman"/>
                <w:b/>
                <w:bCs/>
                <w:sz w:val="28"/>
                <w:szCs w:val="28"/>
                <w:lang w:eastAsia="uk-UA"/>
              </w:rPr>
            </w:pPr>
            <w:r w:rsidRPr="0092339A" w:rsidR="0092339A">
              <w:rPr>
                <w:rFonts w:ascii="Times New Roman" w:hAnsi="Times New Roman" w:cs="Times New Roman"/>
                <w:b/>
                <w:bCs/>
                <w:sz w:val="28"/>
                <w:szCs w:val="28"/>
                <w:lang w:eastAsia="uk-UA"/>
              </w:rPr>
              <w:t>2. Тяжкими наслідками у цій статті вважаються дії, що спричинили припинення надання телекомунікаційних послуг на об’єкти критичної інфраструктури, заклади охорони здоров’я, правоохоронним органам, органам державної влади, частинам пожежної охорони, підрозділам Збройних Сил України, іншим стратегічно важливим об’єктам для функціонування економіки, національної безпеки держави та суспільства.</w:t>
            </w:r>
          </w:p>
        </w:tc>
      </w:tr>
    </w:tbl>
    <w:p w:rsidR="00981EBA" w:rsidP="00532269">
      <w:pPr>
        <w:bidi w:val="0"/>
        <w:spacing w:after="0" w:line="240" w:lineRule="auto"/>
        <w:rPr>
          <w:rFonts w:ascii="Times New Roman" w:hAnsi="Times New Roman" w:cs="Times New Roman"/>
          <w:b/>
          <w:sz w:val="28"/>
          <w:szCs w:val="28"/>
        </w:rPr>
      </w:pPr>
    </w:p>
    <w:p w:rsidR="009A696D" w:rsidP="00F76777">
      <w:pPr>
        <w:bidi w:val="0"/>
        <w:spacing w:after="0" w:line="240" w:lineRule="auto"/>
        <w:rPr>
          <w:rFonts w:ascii="Times New Roman" w:hAnsi="Times New Roman" w:cs="Times New Roman"/>
          <w:b/>
          <w:sz w:val="28"/>
          <w:szCs w:val="28"/>
        </w:rPr>
      </w:pPr>
      <w:r w:rsidRPr="006436B5" w:rsidR="006436B5">
        <w:rPr>
          <w:rFonts w:ascii="Times New Roman" w:hAnsi="Times New Roman" w:cs="Times New Roman"/>
          <w:b/>
          <w:sz w:val="28"/>
          <w:szCs w:val="28"/>
        </w:rPr>
        <w:t>Народні депутати України</w:t>
        <w:tab/>
        <w:t xml:space="preserve">      </w:t>
      </w:r>
      <w:r w:rsidRPr="006436B5" w:rsidR="006436B5">
        <w:rPr>
          <w:rFonts w:ascii="Times New Roman" w:hAnsi="Times New Roman" w:cs="Times New Roman"/>
          <w:b/>
          <w:sz w:val="28"/>
          <w:szCs w:val="28"/>
          <w:lang w:val="ru-RU"/>
        </w:rPr>
        <w:t xml:space="preserve">                                                                             </w:t>
      </w:r>
      <w:r w:rsidRPr="006436B5" w:rsidR="006436B5">
        <w:rPr>
          <w:rFonts w:ascii="Times New Roman" w:hAnsi="Times New Roman" w:cs="Times New Roman"/>
          <w:b/>
          <w:sz w:val="28"/>
          <w:szCs w:val="28"/>
        </w:rPr>
        <w:t xml:space="preserve">                                        </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Федієнко О,П. (89)</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Ватрас В.А. (70)</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Захарченко В.В. (246)</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Неклюдов В.М. (35)</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Медяник В.А. (242)</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Яцик Ю.Г. (285)</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Соха Р.В. (281)</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Крячко М.В. (60)</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Штепа С.С. (283)</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Іонушас С.К. (37)</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Чернєв Є.В. (26)</w:t>
      </w:r>
    </w:p>
    <w:p w:rsidR="00FF2F54" w:rsidRPr="00FF2F54" w:rsidP="00FF2F54">
      <w:pPr>
        <w:bidi w:val="0"/>
        <w:spacing w:after="0" w:line="240" w:lineRule="auto"/>
        <w:jc w:val="right"/>
        <w:rPr>
          <w:rFonts w:ascii="Times New Roman" w:hAnsi="Times New Roman" w:cs="Times New Roman"/>
          <w:b/>
          <w:sz w:val="28"/>
          <w:szCs w:val="28"/>
        </w:rPr>
      </w:pPr>
      <w:r w:rsidRPr="00FF2F54">
        <w:rPr>
          <w:rFonts w:ascii="Times New Roman" w:hAnsi="Times New Roman" w:cs="Times New Roman"/>
          <w:b/>
          <w:sz w:val="28"/>
          <w:szCs w:val="28"/>
        </w:rPr>
        <w:t>Мандзій С.В. (432)</w:t>
      </w:r>
    </w:p>
    <w:p w:rsidR="00F57BEC" w:rsidRPr="0040245D" w:rsidP="00FF2F54">
      <w:pPr>
        <w:bidi w:val="0"/>
        <w:spacing w:after="0" w:line="240" w:lineRule="auto"/>
        <w:jc w:val="right"/>
        <w:rPr>
          <w:rFonts w:ascii="Times New Roman" w:hAnsi="Times New Roman" w:cs="Times New Roman"/>
          <w:b/>
          <w:sz w:val="28"/>
          <w:szCs w:val="28"/>
        </w:rPr>
      </w:pPr>
      <w:r w:rsidRPr="00FF2F54" w:rsidR="00FF2F54">
        <w:rPr>
          <w:rFonts w:ascii="Times New Roman" w:hAnsi="Times New Roman" w:cs="Times New Roman"/>
          <w:b/>
          <w:sz w:val="28"/>
          <w:szCs w:val="28"/>
        </w:rPr>
        <w:t>Стефанчук М.О. (388)</w:t>
      </w:r>
    </w:p>
    <w:sectPr w:rsidSect="007476F6">
      <w:headerReference w:type="default" r:id="rId4"/>
      <w:type w:val="continuous"/>
      <w:pgSz w:w="16837" w:h="11905" w:orient="landscape"/>
      <w:pgMar w:top="750" w:right="850" w:bottom="426" w:left="850" w:header="284" w:footer="708"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Verdana">
    <w:panose1 w:val="020B0604030504040204"/>
    <w:charset w:val="CC"/>
    <w:family w:val="swiss"/>
    <w:pitch w:val="variable"/>
    <w:sig w:usb0="00000000" w:usb1="00000000" w:usb2="00000000" w:usb3="00000000" w:csb0="0000019F" w:csb1="00000000"/>
  </w:font>
  <w:font w:name="Cambria">
    <w:panose1 w:val="00000000000000000000"/>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957">
    <w:pPr>
      <w:pStyle w:val="Header"/>
      <w:bidi w:val="0"/>
      <w:jc w:val="center"/>
      <w:rPr>
        <w:sz w:val="24"/>
        <w:szCs w:val="24"/>
        <w:lang w:val="ru-RU" w:eastAsia="ru-RU"/>
      </w:rPr>
    </w:pPr>
    <w:r>
      <w:rPr>
        <w:sz w:val="24"/>
        <w:szCs w:val="24"/>
        <w:lang w:val="ru-RU" w:eastAsia="ru-RU"/>
      </w:rPr>
      <w:fldChar w:fldCharType="begin"/>
    </w:r>
    <w:r>
      <w:rPr>
        <w:sz w:val="24"/>
        <w:szCs w:val="24"/>
        <w:lang w:val="ru-RU" w:eastAsia="ru-RU"/>
      </w:rPr>
      <w:instrText>\page</w:instrText>
    </w:r>
    <w:r>
      <w:rPr>
        <w:sz w:val="24"/>
        <w:szCs w:val="24"/>
        <w:lang w:val="ru-RU" w:eastAsia="ru-RU"/>
      </w:rPr>
      <w:fldChar w:fldCharType="separate"/>
    </w:r>
    <w:r w:rsidR="00FF2F54">
      <w:rPr>
        <w:noProof/>
        <w:sz w:val="24"/>
        <w:szCs w:val="24"/>
        <w:lang w:val="ru-RU" w:eastAsia="ru-RU"/>
      </w:rPr>
      <w:t>3</w:t>
    </w:r>
    <w:r>
      <w:rPr>
        <w:sz w:val="24"/>
        <w:szCs w:val="24"/>
        <w:lang w:val="ru-RU" w:eastAsia="ru-RU"/>
      </w:rPr>
      <w:fldChar w:fldCharType="end"/>
    </w:r>
  </w:p>
  <w:p w:rsidR="00C14957">
    <w:pPr>
      <w:pStyle w:val="Header"/>
      <w:bidi w:val="0"/>
      <w:rPr>
        <w:sz w:val="24"/>
        <w:szCs w:val="24"/>
        <w:lang w:val="ru-RU" w:eastAsia="ru-RU"/>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09"/>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C14957"/>
    <w:rsid w:val="00001861"/>
    <w:rsid w:val="00002747"/>
    <w:rsid w:val="00007283"/>
    <w:rsid w:val="00007F34"/>
    <w:rsid w:val="000212E6"/>
    <w:rsid w:val="0003187E"/>
    <w:rsid w:val="000363A2"/>
    <w:rsid w:val="00055B21"/>
    <w:rsid w:val="000641A6"/>
    <w:rsid w:val="00064548"/>
    <w:rsid w:val="00067DD6"/>
    <w:rsid w:val="000835E6"/>
    <w:rsid w:val="000840EB"/>
    <w:rsid w:val="000A1BA5"/>
    <w:rsid w:val="000B576E"/>
    <w:rsid w:val="000B70EC"/>
    <w:rsid w:val="000C2AEA"/>
    <w:rsid w:val="000E163A"/>
    <w:rsid w:val="000E2A61"/>
    <w:rsid w:val="000E37E6"/>
    <w:rsid w:val="000E4C42"/>
    <w:rsid w:val="000F27C3"/>
    <w:rsid w:val="00100455"/>
    <w:rsid w:val="00120217"/>
    <w:rsid w:val="001208BB"/>
    <w:rsid w:val="00133914"/>
    <w:rsid w:val="00135570"/>
    <w:rsid w:val="00166A8F"/>
    <w:rsid w:val="00167106"/>
    <w:rsid w:val="00187990"/>
    <w:rsid w:val="0019270E"/>
    <w:rsid w:val="001A0896"/>
    <w:rsid w:val="001A70F0"/>
    <w:rsid w:val="001B1CD6"/>
    <w:rsid w:val="001E05DB"/>
    <w:rsid w:val="001E3FCF"/>
    <w:rsid w:val="0021302E"/>
    <w:rsid w:val="00214AD6"/>
    <w:rsid w:val="00225D17"/>
    <w:rsid w:val="00235361"/>
    <w:rsid w:val="002406C7"/>
    <w:rsid w:val="00247CE3"/>
    <w:rsid w:val="00251F35"/>
    <w:rsid w:val="00254A8C"/>
    <w:rsid w:val="002720C4"/>
    <w:rsid w:val="00277738"/>
    <w:rsid w:val="00277FB9"/>
    <w:rsid w:val="00280761"/>
    <w:rsid w:val="002840EE"/>
    <w:rsid w:val="002851E3"/>
    <w:rsid w:val="002878B5"/>
    <w:rsid w:val="00287E9C"/>
    <w:rsid w:val="002904DD"/>
    <w:rsid w:val="002A010B"/>
    <w:rsid w:val="002A0CE9"/>
    <w:rsid w:val="002B3881"/>
    <w:rsid w:val="002B43E9"/>
    <w:rsid w:val="002D359C"/>
    <w:rsid w:val="002E4DE9"/>
    <w:rsid w:val="002F1D05"/>
    <w:rsid w:val="002F7EFF"/>
    <w:rsid w:val="003153F6"/>
    <w:rsid w:val="003174A2"/>
    <w:rsid w:val="00321BE5"/>
    <w:rsid w:val="00322F1D"/>
    <w:rsid w:val="00323834"/>
    <w:rsid w:val="00323EB8"/>
    <w:rsid w:val="003263C6"/>
    <w:rsid w:val="003301C9"/>
    <w:rsid w:val="00351B63"/>
    <w:rsid w:val="0035369D"/>
    <w:rsid w:val="0035450A"/>
    <w:rsid w:val="00365A71"/>
    <w:rsid w:val="0037030B"/>
    <w:rsid w:val="00380785"/>
    <w:rsid w:val="00383007"/>
    <w:rsid w:val="0038452E"/>
    <w:rsid w:val="003A0AB4"/>
    <w:rsid w:val="003B39BC"/>
    <w:rsid w:val="003B7DEB"/>
    <w:rsid w:val="003C52BB"/>
    <w:rsid w:val="003C71EA"/>
    <w:rsid w:val="003F1484"/>
    <w:rsid w:val="003F7CD5"/>
    <w:rsid w:val="0040245D"/>
    <w:rsid w:val="00407004"/>
    <w:rsid w:val="00412547"/>
    <w:rsid w:val="00436F14"/>
    <w:rsid w:val="004413E9"/>
    <w:rsid w:val="004468F1"/>
    <w:rsid w:val="00462B0F"/>
    <w:rsid w:val="00473FDE"/>
    <w:rsid w:val="0047417C"/>
    <w:rsid w:val="0047443F"/>
    <w:rsid w:val="00494B82"/>
    <w:rsid w:val="004A1B42"/>
    <w:rsid w:val="004A4E2D"/>
    <w:rsid w:val="004D782A"/>
    <w:rsid w:val="004F1AD9"/>
    <w:rsid w:val="00504F20"/>
    <w:rsid w:val="00507FF4"/>
    <w:rsid w:val="00513DE8"/>
    <w:rsid w:val="00532269"/>
    <w:rsid w:val="00551603"/>
    <w:rsid w:val="005575F9"/>
    <w:rsid w:val="00576FF7"/>
    <w:rsid w:val="00590BFF"/>
    <w:rsid w:val="00595B2F"/>
    <w:rsid w:val="005A418E"/>
    <w:rsid w:val="005B05BF"/>
    <w:rsid w:val="005B2C68"/>
    <w:rsid w:val="005B4838"/>
    <w:rsid w:val="005B5CF8"/>
    <w:rsid w:val="005C0AF5"/>
    <w:rsid w:val="005D562C"/>
    <w:rsid w:val="005E2A08"/>
    <w:rsid w:val="00603D99"/>
    <w:rsid w:val="0060547E"/>
    <w:rsid w:val="0060758A"/>
    <w:rsid w:val="0061636B"/>
    <w:rsid w:val="00622CBF"/>
    <w:rsid w:val="00625DF4"/>
    <w:rsid w:val="00630833"/>
    <w:rsid w:val="0063584E"/>
    <w:rsid w:val="00636688"/>
    <w:rsid w:val="00637B69"/>
    <w:rsid w:val="00641E47"/>
    <w:rsid w:val="00642FE9"/>
    <w:rsid w:val="006436B5"/>
    <w:rsid w:val="0065316C"/>
    <w:rsid w:val="00660A5F"/>
    <w:rsid w:val="00664A64"/>
    <w:rsid w:val="00667904"/>
    <w:rsid w:val="0068057D"/>
    <w:rsid w:val="006873F0"/>
    <w:rsid w:val="00691250"/>
    <w:rsid w:val="00694CED"/>
    <w:rsid w:val="00696A71"/>
    <w:rsid w:val="006A1358"/>
    <w:rsid w:val="006B129B"/>
    <w:rsid w:val="006B227B"/>
    <w:rsid w:val="006C017E"/>
    <w:rsid w:val="006C7F10"/>
    <w:rsid w:val="006D3074"/>
    <w:rsid w:val="006D30BA"/>
    <w:rsid w:val="006E11FF"/>
    <w:rsid w:val="006F1838"/>
    <w:rsid w:val="006F2DE8"/>
    <w:rsid w:val="007119F6"/>
    <w:rsid w:val="00717089"/>
    <w:rsid w:val="00717C5E"/>
    <w:rsid w:val="00726236"/>
    <w:rsid w:val="007476F6"/>
    <w:rsid w:val="00747882"/>
    <w:rsid w:val="00760288"/>
    <w:rsid w:val="007616E1"/>
    <w:rsid w:val="00775029"/>
    <w:rsid w:val="0078064F"/>
    <w:rsid w:val="00784C26"/>
    <w:rsid w:val="00796CBA"/>
    <w:rsid w:val="007A475C"/>
    <w:rsid w:val="007C5296"/>
    <w:rsid w:val="007C52C0"/>
    <w:rsid w:val="007E0330"/>
    <w:rsid w:val="007E1421"/>
    <w:rsid w:val="007E5127"/>
    <w:rsid w:val="007F0F07"/>
    <w:rsid w:val="007F7217"/>
    <w:rsid w:val="0080222D"/>
    <w:rsid w:val="00807063"/>
    <w:rsid w:val="008126A0"/>
    <w:rsid w:val="0081390A"/>
    <w:rsid w:val="00835573"/>
    <w:rsid w:val="008355F4"/>
    <w:rsid w:val="008363DF"/>
    <w:rsid w:val="008436C7"/>
    <w:rsid w:val="0085233B"/>
    <w:rsid w:val="00852A46"/>
    <w:rsid w:val="00857942"/>
    <w:rsid w:val="00870273"/>
    <w:rsid w:val="00887AC3"/>
    <w:rsid w:val="00895813"/>
    <w:rsid w:val="008B148E"/>
    <w:rsid w:val="008D005D"/>
    <w:rsid w:val="008D0061"/>
    <w:rsid w:val="008D3CC6"/>
    <w:rsid w:val="008D3E9A"/>
    <w:rsid w:val="008F4F41"/>
    <w:rsid w:val="0090467A"/>
    <w:rsid w:val="0092339A"/>
    <w:rsid w:val="00926170"/>
    <w:rsid w:val="00931739"/>
    <w:rsid w:val="00935132"/>
    <w:rsid w:val="00936568"/>
    <w:rsid w:val="0094332D"/>
    <w:rsid w:val="009449C5"/>
    <w:rsid w:val="009762A4"/>
    <w:rsid w:val="00981EBA"/>
    <w:rsid w:val="009827E0"/>
    <w:rsid w:val="009928C7"/>
    <w:rsid w:val="009A13E3"/>
    <w:rsid w:val="009A44EC"/>
    <w:rsid w:val="009A696D"/>
    <w:rsid w:val="009B37F1"/>
    <w:rsid w:val="009C19C8"/>
    <w:rsid w:val="009C1D81"/>
    <w:rsid w:val="009C5FD9"/>
    <w:rsid w:val="009E340F"/>
    <w:rsid w:val="00A042E1"/>
    <w:rsid w:val="00A16574"/>
    <w:rsid w:val="00A30373"/>
    <w:rsid w:val="00A45390"/>
    <w:rsid w:val="00A50318"/>
    <w:rsid w:val="00A504A9"/>
    <w:rsid w:val="00A561C6"/>
    <w:rsid w:val="00A56541"/>
    <w:rsid w:val="00A67850"/>
    <w:rsid w:val="00A67DB2"/>
    <w:rsid w:val="00A708AF"/>
    <w:rsid w:val="00A716E8"/>
    <w:rsid w:val="00A76386"/>
    <w:rsid w:val="00A770BC"/>
    <w:rsid w:val="00A7778C"/>
    <w:rsid w:val="00AB2548"/>
    <w:rsid w:val="00AC1F36"/>
    <w:rsid w:val="00AC2434"/>
    <w:rsid w:val="00AC2CB8"/>
    <w:rsid w:val="00AC4737"/>
    <w:rsid w:val="00AD13D3"/>
    <w:rsid w:val="00AD7C16"/>
    <w:rsid w:val="00AE1E3E"/>
    <w:rsid w:val="00AE29B9"/>
    <w:rsid w:val="00AF1938"/>
    <w:rsid w:val="00AF39B5"/>
    <w:rsid w:val="00AF7212"/>
    <w:rsid w:val="00B068B1"/>
    <w:rsid w:val="00B11B14"/>
    <w:rsid w:val="00B174B9"/>
    <w:rsid w:val="00B301B6"/>
    <w:rsid w:val="00B30446"/>
    <w:rsid w:val="00B35D1B"/>
    <w:rsid w:val="00B42930"/>
    <w:rsid w:val="00B42D59"/>
    <w:rsid w:val="00B45818"/>
    <w:rsid w:val="00B711D9"/>
    <w:rsid w:val="00B72E6F"/>
    <w:rsid w:val="00B81FF0"/>
    <w:rsid w:val="00B854AC"/>
    <w:rsid w:val="00B94A01"/>
    <w:rsid w:val="00BB3DC7"/>
    <w:rsid w:val="00BC1111"/>
    <w:rsid w:val="00BC1D23"/>
    <w:rsid w:val="00BC28F7"/>
    <w:rsid w:val="00BE727F"/>
    <w:rsid w:val="00BF2D4A"/>
    <w:rsid w:val="00BF5616"/>
    <w:rsid w:val="00BF5F64"/>
    <w:rsid w:val="00C04CDA"/>
    <w:rsid w:val="00C14957"/>
    <w:rsid w:val="00C27F09"/>
    <w:rsid w:val="00C3469E"/>
    <w:rsid w:val="00C37906"/>
    <w:rsid w:val="00C5386D"/>
    <w:rsid w:val="00C61952"/>
    <w:rsid w:val="00C72362"/>
    <w:rsid w:val="00C8002C"/>
    <w:rsid w:val="00C83BE1"/>
    <w:rsid w:val="00C87AA5"/>
    <w:rsid w:val="00C92B36"/>
    <w:rsid w:val="00CB60EF"/>
    <w:rsid w:val="00CE38D2"/>
    <w:rsid w:val="00CE6BEF"/>
    <w:rsid w:val="00CE734E"/>
    <w:rsid w:val="00D05B02"/>
    <w:rsid w:val="00D10F1C"/>
    <w:rsid w:val="00D14FE9"/>
    <w:rsid w:val="00D4188B"/>
    <w:rsid w:val="00D50753"/>
    <w:rsid w:val="00D52CD8"/>
    <w:rsid w:val="00D7169B"/>
    <w:rsid w:val="00D75ECB"/>
    <w:rsid w:val="00D84167"/>
    <w:rsid w:val="00D85AF0"/>
    <w:rsid w:val="00D86251"/>
    <w:rsid w:val="00D90D7A"/>
    <w:rsid w:val="00DA0241"/>
    <w:rsid w:val="00DA32E9"/>
    <w:rsid w:val="00DA3C4D"/>
    <w:rsid w:val="00DA65BA"/>
    <w:rsid w:val="00DE01FA"/>
    <w:rsid w:val="00DF29D3"/>
    <w:rsid w:val="00E1057C"/>
    <w:rsid w:val="00E164A1"/>
    <w:rsid w:val="00E17CB0"/>
    <w:rsid w:val="00E26EE7"/>
    <w:rsid w:val="00E34858"/>
    <w:rsid w:val="00E5204B"/>
    <w:rsid w:val="00E522E2"/>
    <w:rsid w:val="00E5376B"/>
    <w:rsid w:val="00E75A0F"/>
    <w:rsid w:val="00E80329"/>
    <w:rsid w:val="00E96A69"/>
    <w:rsid w:val="00EA3D1F"/>
    <w:rsid w:val="00EB70E6"/>
    <w:rsid w:val="00EC1F98"/>
    <w:rsid w:val="00EC6809"/>
    <w:rsid w:val="00ED10FC"/>
    <w:rsid w:val="00ED2BD2"/>
    <w:rsid w:val="00ED4C75"/>
    <w:rsid w:val="00ED4E9C"/>
    <w:rsid w:val="00EF5C31"/>
    <w:rsid w:val="00F056CF"/>
    <w:rsid w:val="00F075A1"/>
    <w:rsid w:val="00F16E36"/>
    <w:rsid w:val="00F31F24"/>
    <w:rsid w:val="00F456B8"/>
    <w:rsid w:val="00F57BEC"/>
    <w:rsid w:val="00F64538"/>
    <w:rsid w:val="00F7040B"/>
    <w:rsid w:val="00F7064E"/>
    <w:rsid w:val="00F7394A"/>
    <w:rsid w:val="00F76777"/>
    <w:rsid w:val="00F77438"/>
    <w:rsid w:val="00F777F8"/>
    <w:rsid w:val="00F94B6A"/>
    <w:rsid w:val="00F965A8"/>
    <w:rsid w:val="00FA6674"/>
    <w:rsid w:val="00FF2F54"/>
    <w:rsid w:val="00FF5CE1"/>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val="0"/>
      <w:autoSpaceDE w:val="0"/>
      <w:autoSpaceDN w:val="0"/>
      <w:adjustRightInd w:val="0"/>
      <w:spacing w:after="200" w:line="276" w:lineRule="auto"/>
      <w:ind w:left="0" w:right="0"/>
      <w:jc w:val="left"/>
      <w:textAlignment w:val="auto"/>
    </w:pPr>
    <w:rPr>
      <w:rFonts w:ascii="Calibri" w:hAnsi="Calibri" w:cs="Calibri"/>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Title">
    <w:name w:val="Title"/>
    <w:basedOn w:val="Normal"/>
    <w:next w:val="BodyText"/>
    <w:link w:val="a"/>
    <w:uiPriority w:val="99"/>
    <w:qFormat/>
    <w:pPr>
      <w:keepNext/>
      <w:spacing w:before="240" w:after="120"/>
      <w:jc w:val="left"/>
    </w:pPr>
    <w:rPr>
      <w:rFonts w:ascii="Arial" w:hAnsi="Arial" w:cs="Arial"/>
      <w:sz w:val="28"/>
      <w:szCs w:val="28"/>
    </w:rPr>
  </w:style>
  <w:style w:type="character" w:customStyle="1" w:styleId="a">
    <w:name w:val="Назва Знак"/>
    <w:basedOn w:val="DefaultParagraphFont"/>
    <w:link w:val="Title"/>
    <w:uiPriority w:val="99"/>
    <w:locked/>
    <w:rPr>
      <w:rFonts w:ascii="Cambria" w:hAnsi="Cambria" w:cs="Times New Roman"/>
      <w:b/>
      <w:bCs/>
      <w:kern w:val="28"/>
      <w:sz w:val="32"/>
      <w:szCs w:val="32"/>
      <w:rtl w:val="0"/>
      <w:cs w:val="0"/>
      <w:lang w:val="uk-UA" w:eastAsia="en-US"/>
    </w:rPr>
  </w:style>
  <w:style w:type="paragraph" w:styleId="List">
    <w:name w:val="List"/>
    <w:basedOn w:val="BodyText"/>
    <w:uiPriority w:val="99"/>
    <w:pPr>
      <w:jc w:val="left"/>
    </w:pPr>
    <w:rPr>
      <w:rFonts w:ascii="Arial" w:hAnsi="Arial" w:cs="Arial"/>
    </w:rPr>
  </w:style>
  <w:style w:type="paragraph" w:styleId="BodyText">
    <w:name w:val="Body Text"/>
    <w:basedOn w:val="Normal"/>
    <w:link w:val="a0"/>
    <w:uiPriority w:val="99"/>
    <w:pPr>
      <w:spacing w:after="120"/>
      <w:jc w:val="left"/>
    </w:pPr>
  </w:style>
  <w:style w:type="character" w:customStyle="1" w:styleId="a0">
    <w:name w:val="Основний текст Знак"/>
    <w:basedOn w:val="DefaultParagraphFont"/>
    <w:link w:val="BodyText"/>
    <w:uiPriority w:val="99"/>
    <w:semiHidden/>
    <w:locked/>
    <w:rPr>
      <w:rFonts w:ascii="Calibri" w:hAnsi="Calibri" w:cs="Calibri"/>
      <w:rtl w:val="0"/>
      <w:cs w:val="0"/>
      <w:lang w:val="uk-UA" w:eastAsia="en-US"/>
    </w:rPr>
  </w:style>
  <w:style w:type="paragraph" w:styleId="Caption">
    <w:name w:val="caption"/>
    <w:basedOn w:val="Normal"/>
    <w:uiPriority w:val="99"/>
    <w:qFormat/>
    <w:pPr>
      <w:spacing w:before="120" w:after="120"/>
      <w:jc w:val="left"/>
    </w:pPr>
    <w:rPr>
      <w:rFonts w:ascii="Arial" w:hAnsi="Arial" w:cs="Arial"/>
      <w:i/>
      <w:iCs/>
      <w:sz w:val="20"/>
      <w:szCs w:val="20"/>
    </w:rPr>
  </w:style>
  <w:style w:type="paragraph" w:customStyle="1" w:styleId="Index">
    <w:name w:val="Index"/>
    <w:basedOn w:val="Normal"/>
    <w:uiPriority w:val="99"/>
    <w:pPr>
      <w:jc w:val="left"/>
    </w:pPr>
    <w:rPr>
      <w:rFonts w:ascii="Arial" w:hAnsi="Arial" w:cs="Arial"/>
    </w:rPr>
  </w:style>
  <w:style w:type="paragraph" w:styleId="NoSpacing">
    <w:name w:val="No Spacing"/>
    <w:uiPriority w:val="99"/>
    <w:qFormat/>
    <w:pPr>
      <w:framePr w:wrap="auto"/>
      <w:widowControl w:val="0"/>
      <w:autoSpaceDE w:val="0"/>
      <w:autoSpaceDN w:val="0"/>
      <w:adjustRightInd w:val="0"/>
      <w:ind w:left="0" w:right="0"/>
      <w:jc w:val="left"/>
      <w:textAlignment w:val="auto"/>
    </w:pPr>
    <w:rPr>
      <w:rFonts w:ascii="Calibri" w:hAnsi="Calibri" w:cs="Calibri"/>
      <w:sz w:val="20"/>
      <w:szCs w:val="20"/>
      <w:rtl w:val="0"/>
      <w:cs w:val="0"/>
      <w:lang w:val="ru-RU" w:eastAsia="ru-RU" w:bidi="ar-SA"/>
    </w:rPr>
  </w:style>
  <w:style w:type="paragraph" w:styleId="Header">
    <w:name w:val="header"/>
    <w:basedOn w:val="Normal"/>
    <w:link w:val="a1"/>
    <w:uiPriority w:val="99"/>
    <w:pPr>
      <w:tabs>
        <w:tab w:val="center" w:pos="4677"/>
        <w:tab w:val="right" w:pos="9355"/>
      </w:tabs>
      <w:spacing w:after="0" w:line="100" w:lineRule="atLeast"/>
      <w:jc w:val="left"/>
    </w:pPr>
    <w:rPr>
      <w:sz w:val="20"/>
      <w:szCs w:val="20"/>
      <w:lang w:eastAsia="uk-UA"/>
    </w:rPr>
  </w:style>
  <w:style w:type="character" w:customStyle="1" w:styleId="a1">
    <w:name w:val="Верхній колонтитул Знак"/>
    <w:basedOn w:val="DefaultParagraphFont"/>
    <w:link w:val="Header"/>
    <w:uiPriority w:val="99"/>
    <w:semiHidden/>
    <w:locked/>
    <w:rPr>
      <w:rFonts w:ascii="Calibri" w:hAnsi="Calibri" w:cs="Calibri"/>
      <w:rtl w:val="0"/>
      <w:cs w:val="0"/>
      <w:lang w:val="uk-UA" w:eastAsia="en-US"/>
    </w:rPr>
  </w:style>
  <w:style w:type="paragraph" w:styleId="BalloonText">
    <w:name w:val="Balloon Text"/>
    <w:basedOn w:val="Normal"/>
    <w:link w:val="a2"/>
    <w:uiPriority w:val="99"/>
    <w:semiHidden/>
    <w:pPr>
      <w:jc w:val="left"/>
    </w:pPr>
  </w:style>
  <w:style w:type="character" w:customStyle="1" w:styleId="a2">
    <w:name w:val="Текст у виносці Знак"/>
    <w:basedOn w:val="DefaultParagraphFont"/>
    <w:link w:val="BalloonText"/>
    <w:uiPriority w:val="99"/>
    <w:semiHidden/>
    <w:locked/>
    <w:rsid w:val="00462B0F"/>
    <w:rPr>
      <w:rFonts w:ascii="Calibri" w:hAnsi="Calibri" w:cs="Calibri"/>
      <w:sz w:val="22"/>
      <w:szCs w:val="22"/>
      <w:rtl w:val="0"/>
      <w:cs w:val="0"/>
      <w:lang w:val="uk-UA" w:eastAsia="en-US"/>
    </w:rPr>
  </w:style>
  <w:style w:type="paragraph" w:styleId="Footer">
    <w:name w:val="footer"/>
    <w:basedOn w:val="Normal"/>
    <w:link w:val="a3"/>
    <w:uiPriority w:val="99"/>
    <w:pPr>
      <w:tabs>
        <w:tab w:val="center" w:pos="4677"/>
        <w:tab w:val="right" w:pos="9355"/>
      </w:tabs>
      <w:spacing w:after="0" w:line="100" w:lineRule="atLeast"/>
      <w:jc w:val="left"/>
    </w:pPr>
    <w:rPr>
      <w:sz w:val="20"/>
      <w:szCs w:val="20"/>
      <w:lang w:eastAsia="uk-UA"/>
    </w:rPr>
  </w:style>
  <w:style w:type="character" w:customStyle="1" w:styleId="a3">
    <w:name w:val="Нижній колонтитул Знак"/>
    <w:basedOn w:val="DefaultParagraphFont"/>
    <w:link w:val="Footer"/>
    <w:uiPriority w:val="99"/>
    <w:semiHidden/>
    <w:locked/>
    <w:rPr>
      <w:rFonts w:ascii="Calibri" w:hAnsi="Calibri" w:cs="Calibri"/>
      <w:rtl w:val="0"/>
      <w:cs w:val="0"/>
      <w:lang w:val="uk-UA" w:eastAsia="en-US"/>
    </w:rPr>
  </w:style>
  <w:style w:type="paragraph" w:customStyle="1" w:styleId="a4">
    <w:name w:val="Знак Знак Знак Знак Знак Знак"/>
    <w:basedOn w:val="Normal"/>
    <w:uiPriority w:val="99"/>
    <w:rsid w:val="00365A71"/>
    <w:pPr>
      <w:widowControl/>
      <w:autoSpaceDE/>
      <w:autoSpaceDN/>
      <w:adjustRightInd/>
      <w:spacing w:after="0" w:line="240" w:lineRule="auto"/>
      <w:jc w:val="left"/>
    </w:pPr>
    <w:rPr>
      <w:rFonts w:ascii="Verdana" w:hAnsi="Verdana" w:cs="Verdana"/>
      <w:sz w:val="24"/>
      <w:szCs w:val="24"/>
      <w:lang w:val="en-US"/>
    </w:rPr>
  </w:style>
  <w:style w:type="paragraph" w:styleId="ListParagraph">
    <w:name w:val="List Paragraph"/>
    <w:basedOn w:val="Normal"/>
    <w:uiPriority w:val="99"/>
    <w:qFormat/>
    <w:pPr>
      <w:jc w:val="left"/>
    </w:pPr>
  </w:style>
  <w:style w:type="character" w:customStyle="1" w:styleId="3f3f3f3f3f3f3f3f3f3f3f3f3f3f3f3f3f3f3f3f3f">
    <w:name w:val="В3fе3fр3fх3fн3fи3fй3f к3fо3fл3fо3fн3fт3fи3fт3fу3fл3f З3fн3fа3fк3f"/>
    <w:uiPriority w:val="99"/>
    <w:rPr>
      <w:sz w:val="20"/>
    </w:rPr>
  </w:style>
  <w:style w:type="character" w:customStyle="1" w:styleId="3f3f3f3f3f3f3f3f3f3f3f3f3f3f3f3f3f3f3f3f">
    <w:name w:val="Н3fи3fж3fн3fи3fй3f к3fо3fл3fо3fн3fт3fи3fт3fу3fл3f З3fн3fа3fк3f"/>
    <w:uiPriority w:val="99"/>
    <w:rPr>
      <w:sz w:val="20"/>
    </w:rPr>
  </w:style>
  <w:style w:type="character" w:customStyle="1" w:styleId="3f3f3f3f3f3f3f3f3f3f3f3f3f3f3f3f">
    <w:name w:val="Т3fе3fк3fс3fт3f в3fы3fн3fо3fс3fк3fи3f З3fн3fа3fк3f"/>
    <w:uiPriority w:val="99"/>
    <w:rPr>
      <w:sz w:val="20"/>
    </w:rPr>
  </w:style>
  <w:style w:type="character" w:customStyle="1" w:styleId="apple-style-span">
    <w:name w:val="apple-style-span"/>
    <w:uiPriority w:val="99"/>
    <w:rPr>
      <w:sz w:val="20"/>
    </w:rPr>
  </w:style>
  <w:style w:type="character" w:customStyle="1" w:styleId="apple-converted-space">
    <w:name w:val="apple-converted-space"/>
    <w:basedOn w:val="DefaultParagraphFont"/>
    <w:uiPriority w:val="99"/>
    <w:rPr>
      <w:rFonts w:cs="Times New Roman"/>
      <w:sz w:val="20"/>
      <w:szCs w:val="20"/>
      <w:rtl w:val="0"/>
      <w:cs w:val="0"/>
    </w:rPr>
  </w:style>
  <w:style w:type="paragraph" w:customStyle="1" w:styleId="1">
    <w:name w:val="Без интервала1"/>
    <w:uiPriority w:val="99"/>
    <w:rsid w:val="006C017E"/>
    <w:pPr>
      <w:framePr w:wrap="auto"/>
      <w:widowControl/>
      <w:autoSpaceDE/>
      <w:autoSpaceDN/>
      <w:adjustRightInd/>
      <w:ind w:left="0" w:right="0"/>
      <w:jc w:val="left"/>
      <w:textAlignment w:val="auto"/>
    </w:pPr>
    <w:rPr>
      <w:rFonts w:ascii="Calibri" w:hAnsi="Calibri" w:cs="Calibri"/>
      <w:sz w:val="22"/>
      <w:szCs w:val="22"/>
      <w:rtl w:val="0"/>
      <w:cs w:val="0"/>
      <w:lang w:val="uk-UA"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3</Pages>
  <Words>2494</Words>
  <Characters>1422</Characters>
  <Application>Microsoft Office Word</Application>
  <DocSecurity>0</DocSecurity>
  <Lines>0</Lines>
  <Paragraphs>0</Paragraphs>
  <ScaleCrop>false</ScaleCrop>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2020-01-23T12:48:28Z</dcterms:created>
  <dcterms:modified xsi:type="dcterms:W3CDTF">2020-01-23T12:48:28Z</dcterms:modified>
</cp:coreProperties>
</file>