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741" w:rsidRPr="00701741" w:rsidRDefault="00701741" w:rsidP="00C16923">
      <w:pPr>
        <w:spacing w:line="276" w:lineRule="auto"/>
        <w:jc w:val="center"/>
        <w:rPr>
          <w:b/>
          <w:sz w:val="28"/>
          <w:szCs w:val="28"/>
        </w:rPr>
      </w:pPr>
      <w:bookmarkStart w:id="0" w:name="_GoBack"/>
      <w:bookmarkEnd w:id="0"/>
      <w:r w:rsidRPr="00701741">
        <w:rPr>
          <w:b/>
          <w:sz w:val="28"/>
          <w:szCs w:val="28"/>
        </w:rPr>
        <w:t>Порівняльна таблиця</w:t>
      </w:r>
    </w:p>
    <w:p w:rsidR="00701741" w:rsidRPr="00701741" w:rsidRDefault="00701741" w:rsidP="00C16923">
      <w:pPr>
        <w:spacing w:line="276" w:lineRule="auto"/>
        <w:jc w:val="center"/>
        <w:rPr>
          <w:b/>
          <w:sz w:val="28"/>
          <w:szCs w:val="28"/>
        </w:rPr>
      </w:pPr>
      <w:r w:rsidRPr="00701741">
        <w:rPr>
          <w:b/>
          <w:sz w:val="28"/>
          <w:szCs w:val="28"/>
        </w:rPr>
        <w:t>До проекту Закону України «Про внесення змін до Закону України «Про ринок природного газу» та інших законів щодо забезпечення фінансової стабільності на ринку природного газу»</w:t>
      </w:r>
    </w:p>
    <w:p w:rsidR="00CF3CD0" w:rsidRPr="00701741" w:rsidRDefault="00CF3CD0" w:rsidP="00C16923">
      <w:pPr>
        <w:spacing w:line="276" w:lineRule="auto"/>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72"/>
        <w:gridCol w:w="6"/>
        <w:gridCol w:w="7482"/>
      </w:tblGrid>
      <w:tr w:rsidR="00ED64DE" w:rsidRPr="00701741" w:rsidTr="00B25EDE">
        <w:tc>
          <w:tcPr>
            <w:tcW w:w="7078" w:type="dxa"/>
            <w:gridSpan w:val="2"/>
          </w:tcPr>
          <w:p w:rsidR="00ED64DE" w:rsidRPr="00701741" w:rsidRDefault="00ED64DE" w:rsidP="00C16923">
            <w:pPr>
              <w:spacing w:line="276" w:lineRule="auto"/>
              <w:jc w:val="center"/>
              <w:rPr>
                <w:b/>
                <w:sz w:val="28"/>
                <w:szCs w:val="28"/>
              </w:rPr>
            </w:pPr>
            <w:r w:rsidRPr="00701741">
              <w:rPr>
                <w:b/>
                <w:sz w:val="28"/>
                <w:szCs w:val="28"/>
              </w:rPr>
              <w:t>Зміст положення (норми) чинного Закону</w:t>
            </w:r>
          </w:p>
        </w:tc>
        <w:tc>
          <w:tcPr>
            <w:tcW w:w="7482" w:type="dxa"/>
          </w:tcPr>
          <w:p w:rsidR="00ED64DE" w:rsidRPr="00701741" w:rsidRDefault="00ED64DE" w:rsidP="00C16923">
            <w:pPr>
              <w:spacing w:line="276" w:lineRule="auto"/>
              <w:jc w:val="center"/>
              <w:rPr>
                <w:b/>
                <w:sz w:val="28"/>
                <w:szCs w:val="28"/>
              </w:rPr>
            </w:pPr>
            <w:r w:rsidRPr="00701741">
              <w:rPr>
                <w:b/>
                <w:sz w:val="28"/>
                <w:szCs w:val="28"/>
              </w:rPr>
              <w:t xml:space="preserve">Зміст пропонованих змін до Закону </w:t>
            </w:r>
          </w:p>
        </w:tc>
      </w:tr>
      <w:tr w:rsidR="00EC6F82" w:rsidRPr="00701741" w:rsidTr="00B25EDE">
        <w:tc>
          <w:tcPr>
            <w:tcW w:w="14560" w:type="dxa"/>
            <w:gridSpan w:val="3"/>
          </w:tcPr>
          <w:p w:rsidR="00EC6F82" w:rsidRPr="00701741" w:rsidRDefault="00EC6F82" w:rsidP="00C16923">
            <w:pPr>
              <w:spacing w:line="276" w:lineRule="auto"/>
              <w:jc w:val="center"/>
              <w:rPr>
                <w:b/>
                <w:sz w:val="28"/>
                <w:szCs w:val="28"/>
              </w:rPr>
            </w:pPr>
            <w:r w:rsidRPr="00701741">
              <w:rPr>
                <w:b/>
                <w:sz w:val="28"/>
                <w:szCs w:val="28"/>
              </w:rPr>
              <w:t>Закон України «Про ринок природного газу»</w:t>
            </w:r>
          </w:p>
        </w:tc>
      </w:tr>
      <w:tr w:rsidR="003C7C69" w:rsidRPr="00701741" w:rsidTr="000C0A12">
        <w:tc>
          <w:tcPr>
            <w:tcW w:w="14560" w:type="dxa"/>
            <w:gridSpan w:val="3"/>
          </w:tcPr>
          <w:p w:rsidR="003C7C69" w:rsidRPr="00701741" w:rsidRDefault="003C7C69" w:rsidP="00C16923">
            <w:pPr>
              <w:spacing w:line="276" w:lineRule="auto"/>
              <w:jc w:val="center"/>
              <w:rPr>
                <w:b/>
                <w:bCs/>
                <w:sz w:val="28"/>
                <w:szCs w:val="28"/>
              </w:rPr>
            </w:pPr>
            <w:r w:rsidRPr="00701741">
              <w:rPr>
                <w:b/>
                <w:bCs/>
                <w:sz w:val="28"/>
                <w:szCs w:val="28"/>
              </w:rPr>
              <w:t>Стаття 4. Державне регулювання, формування та реалізація державної політики на ринку природного газу</w:t>
            </w:r>
          </w:p>
          <w:p w:rsidR="003C7C69" w:rsidRPr="00701741" w:rsidRDefault="003C7C69" w:rsidP="00C16923">
            <w:pPr>
              <w:spacing w:line="276" w:lineRule="auto"/>
              <w:jc w:val="center"/>
              <w:rPr>
                <w:b/>
                <w:bCs/>
                <w:color w:val="000000" w:themeColor="text1"/>
                <w:sz w:val="28"/>
                <w:szCs w:val="28"/>
              </w:rPr>
            </w:pPr>
          </w:p>
        </w:tc>
      </w:tr>
      <w:tr w:rsidR="00EC6F82" w:rsidRPr="00701741" w:rsidTr="00EC6F82">
        <w:tc>
          <w:tcPr>
            <w:tcW w:w="7072" w:type="dxa"/>
          </w:tcPr>
          <w:p w:rsidR="00C11520" w:rsidRPr="00701741" w:rsidRDefault="00C11520" w:rsidP="00C16923">
            <w:pPr>
              <w:spacing w:line="276" w:lineRule="auto"/>
              <w:jc w:val="both"/>
              <w:rPr>
                <w:sz w:val="28"/>
                <w:szCs w:val="28"/>
              </w:rPr>
            </w:pPr>
            <w:bookmarkStart w:id="1" w:name="n88"/>
            <w:bookmarkEnd w:id="1"/>
            <w:r w:rsidRPr="00701741">
              <w:rPr>
                <w:sz w:val="28"/>
                <w:szCs w:val="28"/>
              </w:rPr>
              <w:t>/…/</w:t>
            </w:r>
          </w:p>
          <w:p w:rsidR="00C11520" w:rsidRPr="00701741" w:rsidRDefault="00C11520" w:rsidP="00C16923">
            <w:pPr>
              <w:spacing w:line="276" w:lineRule="auto"/>
              <w:jc w:val="both"/>
              <w:rPr>
                <w:sz w:val="28"/>
                <w:szCs w:val="28"/>
              </w:rPr>
            </w:pPr>
            <w:r w:rsidRPr="00701741">
              <w:rPr>
                <w:sz w:val="28"/>
                <w:szCs w:val="28"/>
              </w:rPr>
              <w:t>6. Ціни на ринку природного газу, що регулюються державою (зокрема тарифи на послуги транспортування, розподілу, зберігання (закачування, відбору) природного газу та послуги установки LNG, а також інші платежі, пов’язані з доступом до газотранспортних і газорозподільних систем, газосховищ та установки LNG або приєднанням до газотранспортної або газорозподільної системи), повинні бути:</w:t>
            </w:r>
          </w:p>
          <w:p w:rsidR="00C11520" w:rsidRPr="00701741" w:rsidRDefault="00C11520" w:rsidP="00C16923">
            <w:pPr>
              <w:spacing w:line="276" w:lineRule="auto"/>
              <w:jc w:val="both"/>
              <w:rPr>
                <w:sz w:val="28"/>
                <w:szCs w:val="28"/>
              </w:rPr>
            </w:pPr>
            <w:bookmarkStart w:id="2" w:name="n145"/>
            <w:bookmarkEnd w:id="2"/>
            <w:r w:rsidRPr="00701741">
              <w:rPr>
                <w:sz w:val="28"/>
                <w:szCs w:val="28"/>
              </w:rPr>
              <w:t>1) недискримінаційними;</w:t>
            </w:r>
          </w:p>
          <w:p w:rsidR="00C11520" w:rsidRPr="00701741" w:rsidRDefault="00C11520" w:rsidP="00C16923">
            <w:pPr>
              <w:spacing w:line="276" w:lineRule="auto"/>
              <w:jc w:val="both"/>
              <w:rPr>
                <w:sz w:val="28"/>
                <w:szCs w:val="28"/>
              </w:rPr>
            </w:pPr>
            <w:bookmarkStart w:id="3" w:name="n146"/>
            <w:bookmarkEnd w:id="3"/>
            <w:r w:rsidRPr="00701741">
              <w:rPr>
                <w:sz w:val="28"/>
                <w:szCs w:val="28"/>
              </w:rPr>
              <w:t>2) прозорими;</w:t>
            </w:r>
          </w:p>
          <w:p w:rsidR="00C11520" w:rsidRPr="00701741" w:rsidRDefault="00C11520" w:rsidP="00C16923">
            <w:pPr>
              <w:spacing w:line="276" w:lineRule="auto"/>
              <w:jc w:val="both"/>
              <w:rPr>
                <w:sz w:val="28"/>
                <w:szCs w:val="28"/>
              </w:rPr>
            </w:pPr>
            <w:bookmarkStart w:id="4" w:name="n147"/>
            <w:bookmarkEnd w:id="4"/>
            <w:r w:rsidRPr="00701741">
              <w:rPr>
                <w:sz w:val="28"/>
                <w:szCs w:val="28"/>
              </w:rPr>
              <w:t xml:space="preserve">3) встановленими з урахуванням вимог цілісності газотранспортної системи виходячи із економічно обґрунтованих та прозорих витрат відповідного суб’єкта ринку природного газу та з урахуванням належного рівня рентабельності, а також, де це можливо, встановленими з урахуванням зіставлення з показниками аналогічних категорій регульованих цін, </w:t>
            </w:r>
            <w:r w:rsidRPr="00701741">
              <w:rPr>
                <w:sz w:val="28"/>
                <w:szCs w:val="28"/>
              </w:rPr>
              <w:lastRenderedPageBreak/>
              <w:t>встановлених Регулятором для інших суб’єктів ринку природного газу, або таких, що діють на ринках природного газу інших держав.</w:t>
            </w:r>
          </w:p>
          <w:p w:rsidR="00EC6F82" w:rsidRPr="00701741" w:rsidRDefault="00EC6F82" w:rsidP="00C16923">
            <w:pPr>
              <w:spacing w:line="276" w:lineRule="auto"/>
              <w:jc w:val="center"/>
              <w:rPr>
                <w:b/>
                <w:sz w:val="28"/>
                <w:szCs w:val="28"/>
              </w:rPr>
            </w:pPr>
          </w:p>
        </w:tc>
        <w:tc>
          <w:tcPr>
            <w:tcW w:w="7488" w:type="dxa"/>
            <w:gridSpan w:val="2"/>
          </w:tcPr>
          <w:p w:rsidR="00C11520" w:rsidRPr="00701741" w:rsidRDefault="00C11520" w:rsidP="00C16923">
            <w:pPr>
              <w:spacing w:line="276" w:lineRule="auto"/>
              <w:jc w:val="both"/>
              <w:rPr>
                <w:color w:val="000000" w:themeColor="text1"/>
                <w:sz w:val="28"/>
                <w:szCs w:val="28"/>
              </w:rPr>
            </w:pPr>
            <w:r w:rsidRPr="00701741">
              <w:rPr>
                <w:color w:val="000000" w:themeColor="text1"/>
                <w:sz w:val="28"/>
                <w:szCs w:val="28"/>
              </w:rPr>
              <w:lastRenderedPageBreak/>
              <w:t>Частину 6 статті 4 викласти в такій редакції:</w:t>
            </w:r>
          </w:p>
          <w:p w:rsidR="00C11520" w:rsidRPr="00701741" w:rsidRDefault="00C11520" w:rsidP="00C16923">
            <w:pPr>
              <w:spacing w:line="276" w:lineRule="auto"/>
              <w:jc w:val="both"/>
              <w:rPr>
                <w:color w:val="000000" w:themeColor="text1"/>
                <w:sz w:val="28"/>
                <w:szCs w:val="28"/>
              </w:rPr>
            </w:pPr>
            <w:r w:rsidRPr="00701741">
              <w:rPr>
                <w:color w:val="000000"/>
                <w:sz w:val="28"/>
                <w:szCs w:val="28"/>
              </w:rPr>
              <w:t>«</w:t>
            </w:r>
            <w:r w:rsidRPr="00701741">
              <w:rPr>
                <w:b/>
                <w:bCs/>
                <w:color w:val="000000"/>
                <w:sz w:val="28"/>
                <w:szCs w:val="28"/>
              </w:rPr>
              <w:t>6. Рішення Регулятора про затвердження тарифів на послуги транспортування, розподілу, зберігання (закачування, відбору) природного газу та послуги установки LNG, повинні бути</w:t>
            </w:r>
            <w:r w:rsidRPr="00701741">
              <w:rPr>
                <w:color w:val="000000"/>
                <w:sz w:val="28"/>
                <w:szCs w:val="28"/>
              </w:rPr>
              <w:t>:</w:t>
            </w:r>
          </w:p>
          <w:p w:rsidR="00C11520" w:rsidRPr="00701741" w:rsidRDefault="00C11520" w:rsidP="00C16923">
            <w:pPr>
              <w:shd w:val="clear" w:color="auto" w:fill="FFFFFF"/>
              <w:spacing w:line="276" w:lineRule="auto"/>
              <w:jc w:val="both"/>
              <w:rPr>
                <w:color w:val="000000"/>
                <w:sz w:val="28"/>
                <w:szCs w:val="28"/>
              </w:rPr>
            </w:pPr>
            <w:r w:rsidRPr="00701741">
              <w:rPr>
                <w:color w:val="000000"/>
                <w:sz w:val="28"/>
                <w:szCs w:val="28"/>
              </w:rPr>
              <w:t>1) недискримінаційними;</w:t>
            </w:r>
          </w:p>
          <w:p w:rsidR="00C11520" w:rsidRPr="00701741" w:rsidRDefault="00C11520" w:rsidP="00C16923">
            <w:pPr>
              <w:shd w:val="clear" w:color="auto" w:fill="FFFFFF"/>
              <w:spacing w:line="276" w:lineRule="auto"/>
              <w:jc w:val="both"/>
              <w:rPr>
                <w:color w:val="000000"/>
                <w:sz w:val="28"/>
                <w:szCs w:val="28"/>
              </w:rPr>
            </w:pPr>
            <w:r w:rsidRPr="00701741">
              <w:rPr>
                <w:color w:val="000000"/>
                <w:sz w:val="28"/>
                <w:szCs w:val="28"/>
              </w:rPr>
              <w:t>2) прозорими;</w:t>
            </w:r>
          </w:p>
          <w:p w:rsidR="00C11520" w:rsidRPr="00701741" w:rsidRDefault="00C11520" w:rsidP="00C16923">
            <w:pPr>
              <w:shd w:val="clear" w:color="auto" w:fill="FFFFFF"/>
              <w:spacing w:line="276" w:lineRule="auto"/>
              <w:jc w:val="both"/>
              <w:rPr>
                <w:b/>
                <w:bCs/>
                <w:color w:val="000000"/>
                <w:sz w:val="28"/>
                <w:szCs w:val="28"/>
                <w:shd w:val="clear" w:color="auto" w:fill="FFFFFF"/>
              </w:rPr>
            </w:pPr>
            <w:r w:rsidRPr="00701741">
              <w:rPr>
                <w:b/>
                <w:bCs/>
                <w:color w:val="000000"/>
                <w:sz w:val="28"/>
                <w:szCs w:val="28"/>
              </w:rPr>
              <w:t>3) затвердженими з урахуванням</w:t>
            </w:r>
            <w:r w:rsidRPr="00701741">
              <w:rPr>
                <w:b/>
                <w:bCs/>
                <w:color w:val="000000"/>
                <w:sz w:val="28"/>
                <w:szCs w:val="28"/>
                <w:shd w:val="clear" w:color="auto" w:fill="FFFFFF"/>
              </w:rPr>
              <w:t> витрат відповідно до національних положень (стандартів) бухгалтерського обліку, витрат на амортизацію активів, податків і зборів (обов'язкових платежів) до бюджетів та державних цільових фондів, регуляторної норми доходу.»</w:t>
            </w:r>
          </w:p>
          <w:p w:rsidR="00EC6F82" w:rsidRPr="00701741" w:rsidRDefault="00EC6F82" w:rsidP="00C16923">
            <w:pPr>
              <w:spacing w:line="276" w:lineRule="auto"/>
              <w:jc w:val="center"/>
              <w:rPr>
                <w:b/>
                <w:sz w:val="28"/>
                <w:szCs w:val="28"/>
              </w:rPr>
            </w:pPr>
          </w:p>
        </w:tc>
      </w:tr>
      <w:tr w:rsidR="00EC6F82" w:rsidRPr="00701741" w:rsidTr="00EC6F82">
        <w:tc>
          <w:tcPr>
            <w:tcW w:w="7072" w:type="dxa"/>
          </w:tcPr>
          <w:p w:rsidR="00EC6F82" w:rsidRPr="00701741" w:rsidRDefault="00C11520" w:rsidP="00C16923">
            <w:pPr>
              <w:spacing w:line="276" w:lineRule="auto"/>
              <w:rPr>
                <w:b/>
                <w:sz w:val="28"/>
                <w:szCs w:val="28"/>
              </w:rPr>
            </w:pPr>
            <w:r w:rsidRPr="00701741">
              <w:rPr>
                <w:b/>
                <w:sz w:val="28"/>
                <w:szCs w:val="28"/>
              </w:rPr>
              <w:lastRenderedPageBreak/>
              <w:t>Стаття відсутня</w:t>
            </w:r>
          </w:p>
        </w:tc>
        <w:tc>
          <w:tcPr>
            <w:tcW w:w="7488" w:type="dxa"/>
            <w:gridSpan w:val="2"/>
          </w:tcPr>
          <w:p w:rsidR="00C11520" w:rsidRPr="00701741" w:rsidRDefault="00C11520" w:rsidP="00C16923">
            <w:pPr>
              <w:spacing w:line="276" w:lineRule="auto"/>
              <w:jc w:val="both"/>
              <w:rPr>
                <w:b/>
                <w:bCs/>
                <w:color w:val="000000"/>
                <w:sz w:val="28"/>
                <w:szCs w:val="28"/>
              </w:rPr>
            </w:pPr>
            <w:r w:rsidRPr="00701741">
              <w:rPr>
                <w:b/>
                <w:bCs/>
                <w:color w:val="000000"/>
                <w:sz w:val="28"/>
                <w:szCs w:val="28"/>
              </w:rPr>
              <w:t>«Стаття 32-1. Тримання природного газу в газотранспортній системі</w:t>
            </w:r>
          </w:p>
          <w:p w:rsidR="00C11520" w:rsidRPr="00701741" w:rsidRDefault="00C11520" w:rsidP="00C16923">
            <w:pPr>
              <w:spacing w:line="276" w:lineRule="auto"/>
              <w:jc w:val="both"/>
              <w:rPr>
                <w:b/>
                <w:bCs/>
                <w:color w:val="000000"/>
                <w:sz w:val="28"/>
                <w:szCs w:val="28"/>
              </w:rPr>
            </w:pPr>
            <w:r w:rsidRPr="00701741">
              <w:rPr>
                <w:b/>
                <w:bCs/>
                <w:color w:val="000000"/>
                <w:sz w:val="28"/>
                <w:szCs w:val="28"/>
              </w:rPr>
              <w:t>1. Послуги із тримання природного газу в газотранспортній системі надаються оператором газотранспортної системи на підставі та на умовах договору транспортування природного газу.</w:t>
            </w:r>
          </w:p>
          <w:p w:rsidR="00C11520" w:rsidRPr="00701741" w:rsidRDefault="00C11520" w:rsidP="00C16923">
            <w:pPr>
              <w:spacing w:line="276" w:lineRule="auto"/>
              <w:jc w:val="both"/>
              <w:rPr>
                <w:b/>
                <w:bCs/>
                <w:color w:val="000000"/>
                <w:sz w:val="28"/>
                <w:szCs w:val="28"/>
              </w:rPr>
            </w:pPr>
            <w:r w:rsidRPr="00701741">
              <w:rPr>
                <w:b/>
                <w:bCs/>
                <w:color w:val="000000"/>
                <w:sz w:val="28"/>
                <w:szCs w:val="28"/>
              </w:rPr>
              <w:t xml:space="preserve">2. Порядок надання послуги із тримання природного газу в газотранспортній системі визначається кодексом газотранспортної системи. </w:t>
            </w:r>
          </w:p>
          <w:p w:rsidR="00C11520" w:rsidRPr="00701741" w:rsidRDefault="00C11520" w:rsidP="00C16923">
            <w:pPr>
              <w:spacing w:line="276" w:lineRule="auto"/>
              <w:jc w:val="both"/>
              <w:rPr>
                <w:b/>
                <w:bCs/>
                <w:color w:val="000000"/>
                <w:sz w:val="28"/>
                <w:szCs w:val="28"/>
              </w:rPr>
            </w:pPr>
            <w:r w:rsidRPr="00701741">
              <w:rPr>
                <w:b/>
                <w:bCs/>
                <w:color w:val="000000"/>
                <w:sz w:val="28"/>
                <w:szCs w:val="28"/>
              </w:rPr>
              <w:t>3. Розмір потужностей тримання природного газу в газотранспортній системі визначається оператором газотранспортної системи та затверджується Регулятором.</w:t>
            </w:r>
          </w:p>
          <w:p w:rsidR="00C11520" w:rsidRPr="00701741" w:rsidRDefault="00C11520" w:rsidP="00C16923">
            <w:pPr>
              <w:spacing w:line="276" w:lineRule="auto"/>
              <w:jc w:val="both"/>
              <w:rPr>
                <w:b/>
                <w:bCs/>
                <w:color w:val="000000"/>
                <w:sz w:val="28"/>
                <w:szCs w:val="28"/>
              </w:rPr>
            </w:pPr>
            <w:r w:rsidRPr="00701741">
              <w:rPr>
                <w:b/>
                <w:bCs/>
                <w:color w:val="000000"/>
                <w:sz w:val="28"/>
                <w:szCs w:val="28"/>
              </w:rPr>
              <w:t xml:space="preserve">4. Тарифи на послуги з тримання природного газу у газотранспортній системі розраховуються відповідно до методології визначення тарифів на послуги транспортування природного газу та затверджуються Регулятором. </w:t>
            </w:r>
          </w:p>
          <w:p w:rsidR="00C11520" w:rsidRPr="00701741" w:rsidRDefault="00C11520" w:rsidP="00C16923">
            <w:pPr>
              <w:spacing w:line="276" w:lineRule="auto"/>
              <w:jc w:val="both"/>
              <w:rPr>
                <w:b/>
                <w:bCs/>
                <w:color w:val="000000"/>
                <w:sz w:val="28"/>
                <w:szCs w:val="28"/>
              </w:rPr>
            </w:pPr>
            <w:r w:rsidRPr="00701741">
              <w:rPr>
                <w:b/>
                <w:bCs/>
                <w:color w:val="000000"/>
                <w:sz w:val="28"/>
                <w:szCs w:val="28"/>
              </w:rPr>
              <w:t xml:space="preserve">Вартість послуг з тримання природного газу у газотранспортній системі має стимулювати замовника використовувати послуги із зберігання природного газу у газосховищах при замовлені таких послуг на строк,  </w:t>
            </w:r>
            <w:r w:rsidRPr="00701741">
              <w:rPr>
                <w:b/>
                <w:bCs/>
                <w:color w:val="000000"/>
                <w:sz w:val="28"/>
                <w:szCs w:val="28"/>
              </w:rPr>
              <w:lastRenderedPageBreak/>
              <w:t>більше ніж сім днів.</w:t>
            </w:r>
          </w:p>
          <w:p w:rsidR="00C11520" w:rsidRPr="00701741" w:rsidRDefault="00C11520" w:rsidP="00C16923">
            <w:pPr>
              <w:spacing w:line="276" w:lineRule="auto"/>
              <w:jc w:val="both"/>
              <w:rPr>
                <w:b/>
                <w:bCs/>
                <w:color w:val="000000"/>
                <w:sz w:val="28"/>
                <w:szCs w:val="28"/>
              </w:rPr>
            </w:pPr>
            <w:r w:rsidRPr="00701741">
              <w:rPr>
                <w:b/>
                <w:bCs/>
                <w:color w:val="000000"/>
                <w:sz w:val="28"/>
                <w:szCs w:val="28"/>
              </w:rPr>
              <w:t>5. Оператор газотранспортної системи при наданні послуг з тримання природного газу у газотранспортній системі зобов’язаний дотримуватись вимог ліцензійних умов провадження господарської діяльності з транспортування природного газу та інших нормативно-правових актів.</w:t>
            </w:r>
          </w:p>
          <w:p w:rsidR="00EC6F82" w:rsidRPr="00701741" w:rsidRDefault="00C11520" w:rsidP="00C16923">
            <w:pPr>
              <w:spacing w:line="276" w:lineRule="auto"/>
              <w:jc w:val="both"/>
              <w:rPr>
                <w:b/>
                <w:bCs/>
                <w:color w:val="000000"/>
                <w:sz w:val="28"/>
                <w:szCs w:val="28"/>
              </w:rPr>
            </w:pPr>
            <w:r w:rsidRPr="00701741">
              <w:rPr>
                <w:b/>
                <w:bCs/>
                <w:color w:val="000000"/>
                <w:sz w:val="28"/>
                <w:szCs w:val="28"/>
              </w:rPr>
              <w:t>6. Оператор газотранспортної системи розраховує добовий небаланс замовника з урахуванням замовленої потужності, послуги тримання природного газу в газотранспортній системі та фактичних подач і відборів газу замовником до газотранспортної системи чи з газотранспортної системи в рамках використання такої послуги.»</w:t>
            </w:r>
          </w:p>
        </w:tc>
      </w:tr>
      <w:tr w:rsidR="00EC6F82" w:rsidRPr="00701741" w:rsidTr="00EC6F82">
        <w:tc>
          <w:tcPr>
            <w:tcW w:w="7072" w:type="dxa"/>
          </w:tcPr>
          <w:p w:rsidR="00EC6F82" w:rsidRPr="00701741" w:rsidRDefault="00C11520" w:rsidP="00C16923">
            <w:pPr>
              <w:spacing w:line="276" w:lineRule="auto"/>
              <w:rPr>
                <w:b/>
                <w:sz w:val="28"/>
                <w:szCs w:val="28"/>
              </w:rPr>
            </w:pPr>
            <w:r w:rsidRPr="00701741">
              <w:rPr>
                <w:b/>
                <w:sz w:val="28"/>
                <w:szCs w:val="28"/>
              </w:rPr>
              <w:lastRenderedPageBreak/>
              <w:t>Розділ відсутній</w:t>
            </w:r>
          </w:p>
        </w:tc>
        <w:tc>
          <w:tcPr>
            <w:tcW w:w="7488" w:type="dxa"/>
            <w:gridSpan w:val="2"/>
          </w:tcPr>
          <w:p w:rsidR="00C11520" w:rsidRPr="00701741" w:rsidRDefault="00C11520" w:rsidP="00C16923">
            <w:pPr>
              <w:spacing w:line="276" w:lineRule="auto"/>
              <w:jc w:val="center"/>
              <w:rPr>
                <w:b/>
                <w:bCs/>
                <w:color w:val="000000"/>
                <w:sz w:val="28"/>
                <w:szCs w:val="28"/>
              </w:rPr>
            </w:pPr>
            <w:r w:rsidRPr="00701741">
              <w:rPr>
                <w:b/>
                <w:bCs/>
                <w:color w:val="000000"/>
                <w:sz w:val="28"/>
                <w:szCs w:val="28"/>
              </w:rPr>
              <w:t xml:space="preserve">«Розділ </w:t>
            </w:r>
            <w:r w:rsidR="007F2354" w:rsidRPr="00701741">
              <w:rPr>
                <w:b/>
                <w:bCs/>
                <w:color w:val="000000" w:themeColor="text1"/>
                <w:sz w:val="28"/>
                <w:szCs w:val="28"/>
              </w:rPr>
              <w:t>VI</w:t>
            </w:r>
            <w:r w:rsidR="007F2354" w:rsidRPr="00701741">
              <w:rPr>
                <w:b/>
                <w:bCs/>
                <w:color w:val="000000" w:themeColor="text1"/>
                <w:sz w:val="28"/>
                <w:szCs w:val="28"/>
                <w:vertAlign w:val="superscript"/>
              </w:rPr>
              <w:t>1</w:t>
            </w:r>
            <w:r w:rsidRPr="00701741">
              <w:rPr>
                <w:b/>
                <w:bCs/>
                <w:color w:val="000000"/>
                <w:sz w:val="28"/>
                <w:szCs w:val="28"/>
              </w:rPr>
              <w:t>. Заходи спрямовані на забезпечення фінансової стабільності на ринку природного газу</w:t>
            </w:r>
          </w:p>
          <w:p w:rsidR="00C11520" w:rsidRPr="00701741" w:rsidRDefault="00C11520" w:rsidP="00C16923">
            <w:pPr>
              <w:spacing w:line="276" w:lineRule="auto"/>
              <w:jc w:val="both"/>
              <w:rPr>
                <w:b/>
                <w:bCs/>
                <w:color w:val="000000"/>
                <w:sz w:val="28"/>
                <w:szCs w:val="28"/>
              </w:rPr>
            </w:pPr>
          </w:p>
          <w:p w:rsidR="00C11520" w:rsidRPr="00701741" w:rsidRDefault="00C11520" w:rsidP="00C16923">
            <w:pPr>
              <w:spacing w:line="276" w:lineRule="auto"/>
              <w:jc w:val="both"/>
              <w:rPr>
                <w:b/>
                <w:bCs/>
                <w:color w:val="000000"/>
                <w:sz w:val="28"/>
                <w:szCs w:val="28"/>
              </w:rPr>
            </w:pPr>
            <w:r w:rsidRPr="00701741">
              <w:rPr>
                <w:b/>
                <w:bCs/>
                <w:color w:val="000000"/>
                <w:sz w:val="28"/>
                <w:szCs w:val="28"/>
              </w:rPr>
              <w:t>Стаття 60. Заходи спрямовані на погашення (списання) взаємної заборгованості між суб'єктами ринку природного газу</w:t>
            </w:r>
          </w:p>
          <w:p w:rsidR="00C11520" w:rsidRPr="00701741" w:rsidRDefault="00C11520" w:rsidP="00C16923">
            <w:pPr>
              <w:spacing w:line="276" w:lineRule="auto"/>
              <w:jc w:val="both"/>
              <w:rPr>
                <w:b/>
                <w:bCs/>
                <w:color w:val="000000"/>
                <w:sz w:val="28"/>
                <w:szCs w:val="28"/>
              </w:rPr>
            </w:pPr>
          </w:p>
          <w:p w:rsidR="00C11520" w:rsidRPr="00701741" w:rsidRDefault="00C11520" w:rsidP="00C16923">
            <w:pPr>
              <w:pStyle w:val="a4"/>
              <w:numPr>
                <w:ilvl w:val="0"/>
                <w:numId w:val="3"/>
              </w:numPr>
              <w:spacing w:after="0" w:line="276" w:lineRule="auto"/>
              <w:ind w:left="0" w:firstLine="0"/>
              <w:jc w:val="both"/>
              <w:rPr>
                <w:rFonts w:ascii="Times New Roman" w:eastAsia="Times New Roman" w:hAnsi="Times New Roman" w:cs="Times New Roman"/>
                <w:b/>
                <w:bCs/>
                <w:color w:val="000000"/>
                <w:sz w:val="28"/>
                <w:szCs w:val="28"/>
                <w:lang w:eastAsia="ru-RU"/>
              </w:rPr>
            </w:pPr>
            <w:r w:rsidRPr="00701741">
              <w:rPr>
                <w:rFonts w:ascii="Times New Roman" w:eastAsia="Times New Roman" w:hAnsi="Times New Roman" w:cs="Times New Roman"/>
                <w:b/>
                <w:bCs/>
                <w:color w:val="000000"/>
                <w:sz w:val="28"/>
                <w:szCs w:val="28"/>
                <w:lang w:eastAsia="ru-RU"/>
              </w:rPr>
              <w:t>Підлягає списанню кредиторська заборгованість суб’єктів ринку природного газу, що обліковується станом на 30 червня 2020 року (включно) та складається з заборгованості:</w:t>
            </w:r>
          </w:p>
          <w:p w:rsidR="00C11520" w:rsidRPr="00701741" w:rsidRDefault="00C11520" w:rsidP="00C16923">
            <w:pPr>
              <w:pStyle w:val="a4"/>
              <w:spacing w:after="0" w:line="276" w:lineRule="auto"/>
              <w:ind w:left="0"/>
              <w:jc w:val="both"/>
              <w:rPr>
                <w:rFonts w:ascii="Times New Roman" w:eastAsia="Times New Roman" w:hAnsi="Times New Roman" w:cs="Times New Roman"/>
                <w:b/>
                <w:bCs/>
                <w:color w:val="000000"/>
                <w:sz w:val="28"/>
                <w:szCs w:val="28"/>
                <w:lang w:eastAsia="ru-RU"/>
              </w:rPr>
            </w:pPr>
          </w:p>
          <w:p w:rsidR="00822C8A" w:rsidRDefault="00822C8A" w:rsidP="00C16923">
            <w:pPr>
              <w:pStyle w:val="a3"/>
              <w:numPr>
                <w:ilvl w:val="0"/>
                <w:numId w:val="4"/>
              </w:numPr>
              <w:spacing w:before="0" w:line="276" w:lineRule="auto"/>
              <w:ind w:left="471" w:hanging="425"/>
              <w:rPr>
                <w:rFonts w:ascii="Times New Roman" w:hAnsi="Times New Roman"/>
                <w:b/>
                <w:bCs/>
                <w:color w:val="000000"/>
                <w:sz w:val="28"/>
                <w:szCs w:val="28"/>
              </w:rPr>
            </w:pPr>
            <w:r w:rsidRPr="00701741">
              <w:rPr>
                <w:rFonts w:ascii="Times New Roman" w:hAnsi="Times New Roman"/>
                <w:b/>
                <w:bCs/>
                <w:color w:val="000000"/>
                <w:sz w:val="28"/>
                <w:szCs w:val="28"/>
              </w:rPr>
              <w:lastRenderedPageBreak/>
              <w:t xml:space="preserve">теплопостачальних та </w:t>
            </w:r>
            <w:proofErr w:type="spellStart"/>
            <w:r w:rsidRPr="00701741">
              <w:rPr>
                <w:rFonts w:ascii="Times New Roman" w:hAnsi="Times New Roman"/>
                <w:b/>
                <w:bCs/>
                <w:color w:val="000000"/>
                <w:sz w:val="28"/>
                <w:szCs w:val="28"/>
              </w:rPr>
              <w:t>теплогенеруючих</w:t>
            </w:r>
            <w:proofErr w:type="spellEnd"/>
            <w:r w:rsidRPr="00701741">
              <w:rPr>
                <w:rFonts w:ascii="Times New Roman" w:hAnsi="Times New Roman"/>
                <w:b/>
                <w:bCs/>
                <w:color w:val="000000"/>
                <w:sz w:val="28"/>
                <w:szCs w:val="28"/>
              </w:rPr>
              <w:t xml:space="preserve"> організацій із сплати неустойки (штрафів, пені), інфляційних нарахувань, процентів річних, нарахованих на заборгованість за спожитий природний газ, для виробництва теплової та електричної енергії, надання послуг з централізованого опалення та постачання гарячої води побутовим споживачам, що не сплачена станом на розрахункову дату</w:t>
            </w:r>
            <w:r>
              <w:rPr>
                <w:rFonts w:ascii="Times New Roman" w:hAnsi="Times New Roman"/>
                <w:b/>
                <w:bCs/>
                <w:color w:val="000000"/>
                <w:sz w:val="28"/>
                <w:szCs w:val="28"/>
              </w:rPr>
              <w:t>;</w:t>
            </w:r>
          </w:p>
          <w:p w:rsidR="00822C8A" w:rsidRPr="00701741" w:rsidRDefault="00822C8A" w:rsidP="00822C8A">
            <w:pPr>
              <w:pStyle w:val="a3"/>
              <w:numPr>
                <w:ilvl w:val="0"/>
                <w:numId w:val="4"/>
              </w:numPr>
              <w:spacing w:before="0" w:line="276" w:lineRule="auto"/>
              <w:ind w:left="471" w:hanging="425"/>
              <w:rPr>
                <w:rFonts w:ascii="Times New Roman" w:hAnsi="Times New Roman"/>
                <w:b/>
                <w:bCs/>
                <w:color w:val="000000"/>
                <w:sz w:val="28"/>
                <w:szCs w:val="28"/>
              </w:rPr>
            </w:pPr>
            <w:r w:rsidRPr="00701741">
              <w:rPr>
                <w:rFonts w:ascii="Times New Roman" w:hAnsi="Times New Roman"/>
                <w:b/>
                <w:bCs/>
                <w:color w:val="000000"/>
                <w:sz w:val="28"/>
                <w:szCs w:val="28"/>
              </w:rPr>
              <w:t xml:space="preserve">теплопостачальних та </w:t>
            </w:r>
            <w:proofErr w:type="spellStart"/>
            <w:r w:rsidRPr="00701741">
              <w:rPr>
                <w:rFonts w:ascii="Times New Roman" w:hAnsi="Times New Roman"/>
                <w:b/>
                <w:bCs/>
                <w:color w:val="000000"/>
                <w:sz w:val="28"/>
                <w:szCs w:val="28"/>
              </w:rPr>
              <w:t>теплогенеруючих</w:t>
            </w:r>
            <w:proofErr w:type="spellEnd"/>
            <w:r w:rsidRPr="00701741">
              <w:rPr>
                <w:rFonts w:ascii="Times New Roman" w:hAnsi="Times New Roman"/>
                <w:b/>
                <w:bCs/>
                <w:color w:val="000000"/>
                <w:sz w:val="28"/>
                <w:szCs w:val="28"/>
              </w:rPr>
              <w:t xml:space="preserve"> організацій перед постачальником природного газу за природний газ, використаний для виробництва теплової та електричної енергії, надання послуг з централізованого опалення та постачання гарячої води побутовим споживачам, що не сплачена станом на розрахункову дату;</w:t>
            </w:r>
          </w:p>
          <w:p w:rsidR="00822C8A" w:rsidRPr="00701741" w:rsidRDefault="00822C8A" w:rsidP="00822C8A">
            <w:pPr>
              <w:pStyle w:val="a3"/>
              <w:numPr>
                <w:ilvl w:val="0"/>
                <w:numId w:val="4"/>
              </w:numPr>
              <w:spacing w:before="0" w:line="276" w:lineRule="auto"/>
              <w:ind w:left="471" w:hanging="425"/>
              <w:rPr>
                <w:rFonts w:ascii="Times New Roman" w:hAnsi="Times New Roman"/>
                <w:b/>
                <w:bCs/>
                <w:color w:val="000000"/>
                <w:sz w:val="28"/>
                <w:szCs w:val="28"/>
              </w:rPr>
            </w:pPr>
            <w:r w:rsidRPr="00701741">
              <w:rPr>
                <w:rFonts w:ascii="Times New Roman" w:hAnsi="Times New Roman"/>
                <w:b/>
                <w:bCs/>
                <w:color w:val="000000"/>
                <w:sz w:val="28"/>
                <w:szCs w:val="28"/>
              </w:rPr>
              <w:t>постачальників природного газу, в тому числі підтвердженої судовими рішеннями, за договорами купівлі-продажу природного газу для потреб побутових споживачів, що не сплачена станом на розрахункову дату;</w:t>
            </w:r>
          </w:p>
          <w:p w:rsidR="00822C8A" w:rsidRPr="00E85F6E" w:rsidRDefault="00822C8A" w:rsidP="00822C8A">
            <w:pPr>
              <w:pStyle w:val="a3"/>
              <w:numPr>
                <w:ilvl w:val="0"/>
                <w:numId w:val="4"/>
              </w:numPr>
              <w:spacing w:before="0" w:line="276" w:lineRule="auto"/>
              <w:ind w:left="471" w:hanging="425"/>
              <w:rPr>
                <w:rFonts w:ascii="Times New Roman" w:hAnsi="Times New Roman"/>
                <w:b/>
                <w:bCs/>
                <w:color w:val="000000"/>
                <w:sz w:val="28"/>
                <w:szCs w:val="28"/>
              </w:rPr>
            </w:pPr>
            <w:r w:rsidRPr="00701741">
              <w:rPr>
                <w:rFonts w:ascii="Times New Roman" w:hAnsi="Times New Roman"/>
                <w:b/>
                <w:bCs/>
                <w:color w:val="000000"/>
                <w:sz w:val="28"/>
                <w:szCs w:val="28"/>
              </w:rPr>
              <w:t>оператора газотранспортної системи, в тому числі підтвердженої судовими рішеннями, за договорами купівлі-продажу природного газу для забезпечення комерційного балансування, що не сплачена станом на розрахункову дату;</w:t>
            </w:r>
          </w:p>
          <w:p w:rsidR="00E85F6E" w:rsidRPr="00701741" w:rsidRDefault="00E85F6E" w:rsidP="00E85F6E">
            <w:pPr>
              <w:pStyle w:val="a3"/>
              <w:spacing w:before="0" w:line="276" w:lineRule="auto"/>
              <w:ind w:left="471" w:firstLine="0"/>
              <w:rPr>
                <w:rFonts w:ascii="Times New Roman" w:hAnsi="Times New Roman"/>
                <w:b/>
                <w:bCs/>
                <w:color w:val="000000"/>
                <w:sz w:val="28"/>
                <w:szCs w:val="28"/>
              </w:rPr>
            </w:pPr>
          </w:p>
          <w:p w:rsidR="00822C8A" w:rsidRPr="00701741" w:rsidRDefault="00822C8A" w:rsidP="00822C8A">
            <w:pPr>
              <w:pStyle w:val="a3"/>
              <w:numPr>
                <w:ilvl w:val="0"/>
                <w:numId w:val="4"/>
              </w:numPr>
              <w:spacing w:before="0" w:line="276" w:lineRule="auto"/>
              <w:ind w:left="471" w:hanging="425"/>
              <w:rPr>
                <w:rFonts w:ascii="Times New Roman" w:hAnsi="Times New Roman"/>
                <w:b/>
                <w:bCs/>
                <w:color w:val="000000"/>
                <w:sz w:val="28"/>
                <w:szCs w:val="28"/>
              </w:rPr>
            </w:pPr>
            <w:r w:rsidRPr="00701741">
              <w:rPr>
                <w:rFonts w:ascii="Times New Roman" w:hAnsi="Times New Roman"/>
                <w:b/>
                <w:bCs/>
                <w:color w:val="000000"/>
                <w:sz w:val="28"/>
                <w:szCs w:val="28"/>
              </w:rPr>
              <w:lastRenderedPageBreak/>
              <w:t>операторів газорозподільних мереж, в тому числі підтвердженої судовими рішенням, за надані згідно договорів транспортування природного газу послуги транспортування, що не сплачена станом на розрахункову дату;</w:t>
            </w:r>
          </w:p>
          <w:p w:rsidR="00C11520" w:rsidRPr="00701741" w:rsidRDefault="00C11520" w:rsidP="00C16923">
            <w:pPr>
              <w:pStyle w:val="a3"/>
              <w:numPr>
                <w:ilvl w:val="0"/>
                <w:numId w:val="4"/>
              </w:numPr>
              <w:spacing w:before="0" w:line="276" w:lineRule="auto"/>
              <w:ind w:left="471" w:hanging="425"/>
              <w:rPr>
                <w:rFonts w:ascii="Times New Roman" w:hAnsi="Times New Roman"/>
                <w:b/>
                <w:bCs/>
                <w:color w:val="000000"/>
                <w:sz w:val="28"/>
                <w:szCs w:val="28"/>
              </w:rPr>
            </w:pPr>
            <w:r w:rsidRPr="00701741">
              <w:rPr>
                <w:rFonts w:ascii="Times New Roman" w:hAnsi="Times New Roman"/>
                <w:b/>
                <w:bCs/>
                <w:color w:val="000000"/>
                <w:sz w:val="28"/>
                <w:szCs w:val="28"/>
              </w:rPr>
              <w:t>операторів газорозподільних мереж, в тому числі підтвердженої судовими рішеннями, за договорами купівлі-продажу природного газу для виробничо-технологічних потреб, що не сплач</w:t>
            </w:r>
            <w:r w:rsidR="00822C8A">
              <w:rPr>
                <w:rFonts w:ascii="Times New Roman" w:hAnsi="Times New Roman"/>
                <w:b/>
                <w:bCs/>
                <w:color w:val="000000"/>
                <w:sz w:val="28"/>
                <w:szCs w:val="28"/>
              </w:rPr>
              <w:t>ена станом на розрахункову дату.</w:t>
            </w:r>
          </w:p>
          <w:p w:rsidR="00530DCC" w:rsidRPr="00701741" w:rsidRDefault="00530DCC" w:rsidP="00C16923">
            <w:pPr>
              <w:pStyle w:val="a3"/>
              <w:numPr>
                <w:ilvl w:val="1"/>
                <w:numId w:val="9"/>
              </w:numPr>
              <w:spacing w:before="0" w:line="276" w:lineRule="auto"/>
              <w:ind w:left="0" w:firstLine="567"/>
              <w:rPr>
                <w:rFonts w:ascii="Times New Roman" w:hAnsi="Times New Roman"/>
                <w:b/>
                <w:bCs/>
                <w:color w:val="000000" w:themeColor="text1"/>
                <w:sz w:val="28"/>
                <w:szCs w:val="28"/>
              </w:rPr>
            </w:pPr>
            <w:bookmarkStart w:id="5" w:name="n47"/>
            <w:bookmarkEnd w:id="5"/>
            <w:r w:rsidRPr="00701741">
              <w:rPr>
                <w:rFonts w:ascii="Times New Roman" w:hAnsi="Times New Roman"/>
                <w:b/>
                <w:bCs/>
                <w:color w:val="000000" w:themeColor="text1"/>
                <w:sz w:val="28"/>
                <w:szCs w:val="28"/>
              </w:rPr>
              <w:t>Не підлягають сплаті дивіденди до державного бюджету акціонерним товариством “Національна акціонерна компанія “Нафтогаз України”, донараховані внаслідок включення  до  розрахунку  резерву сумнівних боргів суми поточної дебіторської  заборгованості  із  строком  виникнення  до півтора року, а також нарахування забезпечень під судові позови та інші забезпечення за якими є позитивні для компанії рішення судів станом на 30 червня 2020 року (включно).</w:t>
            </w:r>
          </w:p>
          <w:p w:rsidR="0056474E" w:rsidRDefault="0056474E" w:rsidP="00C16923">
            <w:pPr>
              <w:pStyle w:val="a4"/>
              <w:numPr>
                <w:ilvl w:val="0"/>
                <w:numId w:val="3"/>
              </w:numPr>
              <w:spacing w:after="0" w:line="276" w:lineRule="auto"/>
              <w:ind w:left="0" w:firstLine="0"/>
              <w:jc w:val="both"/>
              <w:rPr>
                <w:rFonts w:ascii="Times New Roman" w:eastAsia="Times New Roman" w:hAnsi="Times New Roman" w:cs="Times New Roman"/>
                <w:b/>
                <w:bCs/>
                <w:color w:val="000000"/>
                <w:sz w:val="28"/>
                <w:szCs w:val="28"/>
                <w:lang w:eastAsia="ru-RU"/>
              </w:rPr>
            </w:pPr>
            <w:r w:rsidRPr="00701741">
              <w:rPr>
                <w:rFonts w:ascii="Times New Roman" w:eastAsia="Times New Roman" w:hAnsi="Times New Roman" w:cs="Times New Roman"/>
                <w:b/>
                <w:bCs/>
                <w:color w:val="000000"/>
                <w:sz w:val="28"/>
                <w:szCs w:val="28"/>
                <w:lang w:eastAsia="ru-RU"/>
              </w:rPr>
              <w:t>Підлягають списанню суми неустойки (штрафів, пені), інфляційних нарахувань, процентів річних, тощо, в тому числі підтверджені судовими рішеннями, які нараховані суб’єктам ринку природного газу на заборгованість визначену частиною 1 даної статті.</w:t>
            </w:r>
          </w:p>
          <w:p w:rsidR="00892E37" w:rsidRPr="00892E37" w:rsidRDefault="00892E37" w:rsidP="00892E37">
            <w:pPr>
              <w:spacing w:line="276" w:lineRule="auto"/>
              <w:jc w:val="both"/>
              <w:rPr>
                <w:b/>
                <w:bCs/>
                <w:color w:val="000000"/>
                <w:sz w:val="28"/>
                <w:szCs w:val="28"/>
              </w:rPr>
            </w:pPr>
          </w:p>
          <w:p w:rsidR="0056474E" w:rsidRPr="00701741" w:rsidRDefault="0056474E" w:rsidP="00C16923">
            <w:pPr>
              <w:pStyle w:val="a4"/>
              <w:numPr>
                <w:ilvl w:val="0"/>
                <w:numId w:val="3"/>
              </w:numPr>
              <w:spacing w:after="0" w:line="276" w:lineRule="auto"/>
              <w:ind w:left="0" w:firstLine="0"/>
              <w:jc w:val="both"/>
              <w:rPr>
                <w:rFonts w:ascii="Times New Roman" w:eastAsia="Times New Roman" w:hAnsi="Times New Roman" w:cs="Times New Roman"/>
                <w:b/>
                <w:bCs/>
                <w:color w:val="000000"/>
                <w:sz w:val="28"/>
                <w:szCs w:val="28"/>
                <w:lang w:eastAsia="ru-RU"/>
              </w:rPr>
            </w:pPr>
            <w:r w:rsidRPr="00701741">
              <w:rPr>
                <w:rFonts w:ascii="Times New Roman" w:eastAsia="Times New Roman" w:hAnsi="Times New Roman" w:cs="Times New Roman"/>
                <w:b/>
                <w:bCs/>
                <w:color w:val="000000"/>
                <w:sz w:val="28"/>
                <w:szCs w:val="28"/>
                <w:lang w:eastAsia="ru-RU"/>
              </w:rPr>
              <w:lastRenderedPageBreak/>
              <w:t>Підлягає списанню заборгованість побутових споживачів природного газу – неоплачена вартість обсягів природного газу, відображена в обліку суб’єктів ринку природного газу в період з 01 жовтня 2014 року до 30 червня 2020 року (включно) в зв’язку з визнанням судами незаконними та нечинними актів Кабінету Міністрів України про затвердження норм споживання природного газу населенням без лічильників.</w:t>
            </w:r>
          </w:p>
          <w:p w:rsidR="0056474E" w:rsidRPr="00701741" w:rsidRDefault="0056474E" w:rsidP="00C16923">
            <w:pPr>
              <w:pStyle w:val="a4"/>
              <w:numPr>
                <w:ilvl w:val="0"/>
                <w:numId w:val="3"/>
              </w:numPr>
              <w:spacing w:after="0" w:line="276" w:lineRule="auto"/>
              <w:ind w:left="0" w:firstLine="0"/>
              <w:jc w:val="both"/>
              <w:rPr>
                <w:rFonts w:ascii="Times New Roman" w:eastAsia="Times New Roman" w:hAnsi="Times New Roman" w:cs="Times New Roman"/>
                <w:b/>
                <w:bCs/>
                <w:color w:val="000000"/>
                <w:sz w:val="28"/>
                <w:szCs w:val="28"/>
                <w:lang w:eastAsia="ru-RU"/>
              </w:rPr>
            </w:pPr>
            <w:r w:rsidRPr="00701741">
              <w:rPr>
                <w:rFonts w:ascii="Times New Roman" w:eastAsia="Times New Roman" w:hAnsi="Times New Roman" w:cs="Times New Roman"/>
                <w:b/>
                <w:bCs/>
                <w:color w:val="000000"/>
                <w:sz w:val="28"/>
                <w:szCs w:val="28"/>
                <w:lang w:eastAsia="ru-RU"/>
              </w:rPr>
              <w:t>Підлягає списанню заборгованість побутових споживачів природного газу, в межах обсягів приведення до стандартних умов відповідно до Методики визначення питомих втрат природного газу при його вимірюваннях побутовими лічильниками в разі неприведення об`єму газу до стандартних умов, затвердженої наказом Міністерства палива та енергетики України від 21 жовтня 2003 року № 595, що обліковується Оператором ГРМ та не сплачена побутовим споживачем на розрахункову дату.</w:t>
            </w:r>
          </w:p>
          <w:p w:rsidR="0056474E" w:rsidRPr="00701741" w:rsidRDefault="0056474E" w:rsidP="00C16923">
            <w:pPr>
              <w:pStyle w:val="a4"/>
              <w:numPr>
                <w:ilvl w:val="0"/>
                <w:numId w:val="3"/>
              </w:numPr>
              <w:spacing w:after="0" w:line="276" w:lineRule="auto"/>
              <w:ind w:left="0" w:firstLine="0"/>
              <w:jc w:val="both"/>
              <w:rPr>
                <w:rFonts w:ascii="Times New Roman" w:eastAsia="Times New Roman" w:hAnsi="Times New Roman" w:cs="Times New Roman"/>
                <w:b/>
                <w:bCs/>
                <w:color w:val="000000"/>
                <w:sz w:val="28"/>
                <w:szCs w:val="28"/>
                <w:lang w:eastAsia="ru-RU"/>
              </w:rPr>
            </w:pPr>
            <w:r w:rsidRPr="00701741">
              <w:rPr>
                <w:rFonts w:ascii="Times New Roman" w:eastAsia="Times New Roman" w:hAnsi="Times New Roman" w:cs="Times New Roman"/>
                <w:b/>
                <w:bCs/>
                <w:color w:val="000000"/>
                <w:sz w:val="28"/>
                <w:szCs w:val="28"/>
                <w:lang w:eastAsia="ru-RU"/>
              </w:rPr>
              <w:t>Заборгованість суб’єктів ринку природного газу перед контрагентами, яка виникла в зв’язку із здійсненням операцій постачання природного газу побутовим споживачам в період  з 1 жовтня 2014 року до 30 червня 2020 року (включно) підлягає списанню у межах сум заборгованості побутових споживачів списаної такими суб’єктами згідно цього Закону.</w:t>
            </w:r>
          </w:p>
          <w:p w:rsidR="00C11520" w:rsidRPr="00701741" w:rsidRDefault="00C11520" w:rsidP="00C16923">
            <w:pPr>
              <w:pStyle w:val="a4"/>
              <w:numPr>
                <w:ilvl w:val="0"/>
                <w:numId w:val="3"/>
              </w:numPr>
              <w:spacing w:after="0" w:line="276" w:lineRule="auto"/>
              <w:ind w:left="0" w:firstLine="0"/>
              <w:jc w:val="both"/>
              <w:rPr>
                <w:rFonts w:ascii="Times New Roman" w:hAnsi="Times New Roman" w:cs="Times New Roman"/>
                <w:b/>
                <w:bCs/>
                <w:color w:val="000000"/>
                <w:sz w:val="28"/>
                <w:szCs w:val="28"/>
              </w:rPr>
            </w:pPr>
            <w:r w:rsidRPr="00701741">
              <w:rPr>
                <w:rFonts w:ascii="Times New Roman" w:eastAsia="Times New Roman" w:hAnsi="Times New Roman" w:cs="Times New Roman"/>
                <w:b/>
                <w:bCs/>
                <w:color w:val="000000"/>
                <w:sz w:val="28"/>
                <w:szCs w:val="28"/>
                <w:lang w:eastAsia="ru-RU"/>
              </w:rPr>
              <w:t>На суми списаної на умовах</w:t>
            </w:r>
            <w:r w:rsidRPr="00701741">
              <w:rPr>
                <w:rFonts w:ascii="Times New Roman" w:hAnsi="Times New Roman" w:cs="Times New Roman"/>
                <w:b/>
                <w:bCs/>
                <w:color w:val="000000"/>
                <w:sz w:val="28"/>
                <w:szCs w:val="28"/>
              </w:rPr>
              <w:t xml:space="preserve"> даного Розділу </w:t>
            </w:r>
            <w:r w:rsidRPr="00701741">
              <w:rPr>
                <w:rFonts w:ascii="Times New Roman" w:hAnsi="Times New Roman" w:cs="Times New Roman"/>
                <w:b/>
                <w:bCs/>
                <w:color w:val="000000"/>
                <w:sz w:val="28"/>
                <w:szCs w:val="28"/>
              </w:rPr>
              <w:lastRenderedPageBreak/>
              <w:t>заборгованості не нараховуються штрафні, фінансові санкції, інфляційні нарахування, проценти річних.</w:t>
            </w:r>
          </w:p>
          <w:p w:rsidR="00C11520" w:rsidRPr="00701741" w:rsidRDefault="00C11520" w:rsidP="00C16923">
            <w:pPr>
              <w:pStyle w:val="a4"/>
              <w:spacing w:after="0" w:line="276" w:lineRule="auto"/>
              <w:ind w:left="0"/>
              <w:jc w:val="both"/>
              <w:rPr>
                <w:rFonts w:ascii="Times New Roman" w:eastAsia="Times New Roman" w:hAnsi="Times New Roman" w:cs="Times New Roman"/>
                <w:b/>
                <w:bCs/>
                <w:color w:val="000000"/>
                <w:sz w:val="28"/>
                <w:szCs w:val="28"/>
                <w:lang w:eastAsia="ru-RU"/>
              </w:rPr>
            </w:pPr>
          </w:p>
          <w:p w:rsidR="00C11520" w:rsidRPr="00701741" w:rsidRDefault="00C11520" w:rsidP="00C16923">
            <w:pPr>
              <w:spacing w:line="276" w:lineRule="auto"/>
              <w:jc w:val="both"/>
              <w:rPr>
                <w:b/>
                <w:bCs/>
                <w:color w:val="000000"/>
                <w:sz w:val="28"/>
                <w:szCs w:val="28"/>
              </w:rPr>
            </w:pPr>
            <w:r w:rsidRPr="00701741">
              <w:rPr>
                <w:b/>
                <w:bCs/>
                <w:color w:val="000000"/>
                <w:sz w:val="28"/>
                <w:szCs w:val="28"/>
              </w:rPr>
              <w:t>Стаття 61. Порядок погашення (списання) заборгованості між суб’єктами ринку природного газу</w:t>
            </w:r>
          </w:p>
          <w:p w:rsidR="00C11520" w:rsidRPr="00701741" w:rsidRDefault="00C11520" w:rsidP="00C16923">
            <w:pPr>
              <w:spacing w:line="276" w:lineRule="auto"/>
              <w:jc w:val="both"/>
              <w:rPr>
                <w:b/>
                <w:bCs/>
                <w:color w:val="000000"/>
                <w:sz w:val="28"/>
                <w:szCs w:val="28"/>
              </w:rPr>
            </w:pPr>
          </w:p>
          <w:p w:rsidR="00C11520" w:rsidRPr="00701741" w:rsidRDefault="00C11520" w:rsidP="00C16923">
            <w:pPr>
              <w:pStyle w:val="a4"/>
              <w:numPr>
                <w:ilvl w:val="0"/>
                <w:numId w:val="6"/>
              </w:numPr>
              <w:spacing w:after="0" w:line="276" w:lineRule="auto"/>
              <w:ind w:left="0" w:firstLine="0"/>
              <w:jc w:val="both"/>
              <w:rPr>
                <w:rFonts w:ascii="Times New Roman" w:eastAsia="Times New Roman" w:hAnsi="Times New Roman" w:cs="Times New Roman"/>
                <w:b/>
                <w:bCs/>
                <w:color w:val="000000"/>
                <w:sz w:val="28"/>
                <w:szCs w:val="28"/>
                <w:lang w:eastAsia="ru-RU"/>
              </w:rPr>
            </w:pPr>
            <w:r w:rsidRPr="00701741">
              <w:rPr>
                <w:rFonts w:ascii="Times New Roman" w:eastAsia="Times New Roman" w:hAnsi="Times New Roman" w:cs="Times New Roman"/>
                <w:b/>
                <w:bCs/>
                <w:color w:val="000000"/>
                <w:sz w:val="28"/>
                <w:szCs w:val="28"/>
                <w:lang w:eastAsia="ru-RU"/>
              </w:rPr>
              <w:t>Для списання заборгованості визначеної статтею 60 даного Закону, боржники направляють кредиторам повідомлення про списані відповідно до даного розділу суми разом із документами, що підтверджують наявність такої заборгованості.</w:t>
            </w:r>
          </w:p>
          <w:p w:rsidR="00C11520" w:rsidRPr="00701741" w:rsidRDefault="00C11520" w:rsidP="00C16923">
            <w:pPr>
              <w:pStyle w:val="a3"/>
              <w:numPr>
                <w:ilvl w:val="0"/>
                <w:numId w:val="6"/>
              </w:numPr>
              <w:spacing w:before="0" w:line="276" w:lineRule="auto"/>
              <w:ind w:left="0" w:firstLine="0"/>
              <w:rPr>
                <w:rFonts w:ascii="Times New Roman" w:hAnsi="Times New Roman"/>
                <w:b/>
                <w:bCs/>
                <w:color w:val="000000"/>
                <w:sz w:val="28"/>
                <w:szCs w:val="28"/>
              </w:rPr>
            </w:pPr>
            <w:r w:rsidRPr="00701741">
              <w:rPr>
                <w:rFonts w:ascii="Times New Roman" w:hAnsi="Times New Roman"/>
                <w:b/>
                <w:bCs/>
                <w:color w:val="000000"/>
                <w:sz w:val="28"/>
                <w:szCs w:val="28"/>
              </w:rPr>
              <w:t>Документами на підставі яких суб’єкти ринку природного газу встановлюють та уточнюють суми дебіторської та кредиторської заборгованостей, що підпадає під дію цього Закону є:</w:t>
            </w:r>
          </w:p>
          <w:p w:rsidR="00C11520" w:rsidRPr="00701741" w:rsidRDefault="00C11520" w:rsidP="00C16923">
            <w:pPr>
              <w:pStyle w:val="a5"/>
              <w:numPr>
                <w:ilvl w:val="0"/>
                <w:numId w:val="5"/>
              </w:numPr>
              <w:spacing w:before="0" w:beforeAutospacing="0" w:after="0" w:afterAutospacing="0" w:line="276" w:lineRule="auto"/>
              <w:ind w:left="46" w:firstLine="425"/>
              <w:jc w:val="both"/>
              <w:rPr>
                <w:b/>
                <w:bCs/>
                <w:color w:val="000000"/>
                <w:sz w:val="28"/>
                <w:szCs w:val="28"/>
                <w:lang w:val="uk-UA"/>
              </w:rPr>
            </w:pPr>
            <w:r w:rsidRPr="00701741">
              <w:rPr>
                <w:b/>
                <w:bCs/>
                <w:color w:val="000000"/>
                <w:sz w:val="28"/>
                <w:szCs w:val="28"/>
                <w:lang w:val="uk-UA"/>
              </w:rPr>
              <w:t>рішення судів, що набрали законної сили, про стягнення з суб’єктів ринку природного газу заборгованості за природний газ та/або послуги з його транспортування, балансування, зберігання, та/або,</w:t>
            </w:r>
          </w:p>
          <w:p w:rsidR="00C11520" w:rsidRPr="00701741" w:rsidRDefault="00C11520" w:rsidP="00C16923">
            <w:pPr>
              <w:pStyle w:val="a5"/>
              <w:numPr>
                <w:ilvl w:val="0"/>
                <w:numId w:val="5"/>
              </w:numPr>
              <w:spacing w:before="0" w:beforeAutospacing="0" w:after="0" w:afterAutospacing="0" w:line="276" w:lineRule="auto"/>
              <w:ind w:left="46" w:firstLine="425"/>
              <w:jc w:val="both"/>
              <w:rPr>
                <w:b/>
                <w:bCs/>
                <w:color w:val="000000"/>
                <w:sz w:val="28"/>
                <w:szCs w:val="28"/>
                <w:lang w:val="uk-UA"/>
              </w:rPr>
            </w:pPr>
            <w:r w:rsidRPr="00701741">
              <w:rPr>
                <w:b/>
                <w:bCs/>
                <w:color w:val="000000"/>
                <w:sz w:val="28"/>
                <w:szCs w:val="28"/>
                <w:lang w:val="uk-UA"/>
              </w:rPr>
              <w:t>рішення судів, що набрали законної сили, про зобов’язання державних колегіальних органів встановити для суб’єктів ринку природного газу економічно обґрунтовані тарифи, та/або,</w:t>
            </w:r>
          </w:p>
          <w:p w:rsidR="00C11520" w:rsidRPr="00701741" w:rsidRDefault="00C11520" w:rsidP="00C16923">
            <w:pPr>
              <w:pStyle w:val="a5"/>
              <w:numPr>
                <w:ilvl w:val="0"/>
                <w:numId w:val="5"/>
              </w:numPr>
              <w:spacing w:before="0" w:beforeAutospacing="0" w:after="0" w:afterAutospacing="0" w:line="276" w:lineRule="auto"/>
              <w:ind w:left="46" w:firstLine="425"/>
              <w:jc w:val="both"/>
              <w:rPr>
                <w:b/>
                <w:bCs/>
                <w:color w:val="000000"/>
                <w:sz w:val="28"/>
                <w:szCs w:val="28"/>
                <w:lang w:val="uk-UA"/>
              </w:rPr>
            </w:pPr>
            <w:r w:rsidRPr="00701741">
              <w:rPr>
                <w:b/>
                <w:bCs/>
                <w:color w:val="000000"/>
                <w:sz w:val="28"/>
                <w:szCs w:val="28"/>
                <w:lang w:val="uk-UA"/>
              </w:rPr>
              <w:t>акти звіряння заборгованості між суб’єктів ринку природного газу (за відсутності факту звернення до суду) та/або,</w:t>
            </w:r>
          </w:p>
          <w:p w:rsidR="00C11520" w:rsidRPr="00701741" w:rsidRDefault="00C11520" w:rsidP="00C16923">
            <w:pPr>
              <w:pStyle w:val="a5"/>
              <w:numPr>
                <w:ilvl w:val="0"/>
                <w:numId w:val="5"/>
              </w:numPr>
              <w:spacing w:before="0" w:beforeAutospacing="0" w:after="0" w:afterAutospacing="0" w:line="276" w:lineRule="auto"/>
              <w:ind w:left="46" w:firstLine="425"/>
              <w:jc w:val="both"/>
              <w:rPr>
                <w:b/>
                <w:bCs/>
                <w:color w:val="000000"/>
                <w:sz w:val="28"/>
                <w:szCs w:val="28"/>
                <w:lang w:val="uk-UA"/>
              </w:rPr>
            </w:pPr>
            <w:r w:rsidRPr="00701741">
              <w:rPr>
                <w:b/>
                <w:bCs/>
                <w:color w:val="000000"/>
                <w:sz w:val="28"/>
                <w:szCs w:val="28"/>
                <w:lang w:val="uk-UA"/>
              </w:rPr>
              <w:lastRenderedPageBreak/>
              <w:t>бухгалтерські довідки суб’єктів ринку природного газу (у разі відмови або ухилення контрагентів від оформлення актів звіряння, а також у відношенні заборгованості побутових споживачів природного газу).</w:t>
            </w:r>
          </w:p>
          <w:p w:rsidR="00C11520" w:rsidRPr="00701741" w:rsidRDefault="00C11520" w:rsidP="00C16923">
            <w:pPr>
              <w:spacing w:line="276" w:lineRule="auto"/>
              <w:jc w:val="both"/>
              <w:rPr>
                <w:b/>
                <w:bCs/>
                <w:color w:val="000000"/>
                <w:sz w:val="28"/>
                <w:szCs w:val="28"/>
              </w:rPr>
            </w:pPr>
          </w:p>
          <w:p w:rsidR="00C11520" w:rsidRPr="00701741" w:rsidRDefault="00C11520" w:rsidP="00C16923">
            <w:pPr>
              <w:pStyle w:val="rvps2"/>
              <w:shd w:val="clear" w:color="auto" w:fill="FFFFFF"/>
              <w:spacing w:before="0" w:beforeAutospacing="0" w:after="0" w:afterAutospacing="0" w:line="276" w:lineRule="auto"/>
              <w:jc w:val="both"/>
              <w:rPr>
                <w:b/>
                <w:bCs/>
                <w:color w:val="000000"/>
                <w:sz w:val="28"/>
                <w:szCs w:val="28"/>
              </w:rPr>
            </w:pPr>
            <w:r w:rsidRPr="00701741">
              <w:rPr>
                <w:b/>
                <w:bCs/>
                <w:color w:val="000000"/>
                <w:sz w:val="28"/>
                <w:szCs w:val="28"/>
              </w:rPr>
              <w:t>Стаття 62. Гарантії захисту прав суб’єктів ринку природного газу на час вжиття заходів забезпечення фінансової стабільності на ринку природного газу</w:t>
            </w:r>
          </w:p>
          <w:p w:rsidR="00C11520" w:rsidRPr="00701741" w:rsidRDefault="00C11520" w:rsidP="00C16923">
            <w:pPr>
              <w:pStyle w:val="rvps2"/>
              <w:shd w:val="clear" w:color="auto" w:fill="FFFFFF"/>
              <w:spacing w:before="0" w:beforeAutospacing="0" w:after="0" w:afterAutospacing="0" w:line="276" w:lineRule="auto"/>
              <w:jc w:val="both"/>
              <w:rPr>
                <w:b/>
                <w:bCs/>
                <w:color w:val="000000"/>
                <w:sz w:val="28"/>
                <w:szCs w:val="28"/>
              </w:rPr>
            </w:pPr>
          </w:p>
          <w:p w:rsidR="00C11520" w:rsidRPr="00701741" w:rsidRDefault="00C11520" w:rsidP="00C16923">
            <w:pPr>
              <w:pStyle w:val="a3"/>
              <w:numPr>
                <w:ilvl w:val="0"/>
                <w:numId w:val="7"/>
              </w:numPr>
              <w:spacing w:before="0" w:line="276" w:lineRule="auto"/>
              <w:ind w:left="0" w:firstLine="0"/>
              <w:rPr>
                <w:rFonts w:ascii="Times New Roman" w:hAnsi="Times New Roman"/>
                <w:b/>
                <w:bCs/>
                <w:color w:val="000000"/>
                <w:sz w:val="28"/>
                <w:szCs w:val="28"/>
              </w:rPr>
            </w:pPr>
            <w:r w:rsidRPr="00701741">
              <w:rPr>
                <w:rFonts w:ascii="Times New Roman" w:hAnsi="Times New Roman"/>
                <w:b/>
                <w:bCs/>
                <w:color w:val="000000"/>
                <w:sz w:val="28"/>
                <w:szCs w:val="28"/>
              </w:rPr>
              <w:t xml:space="preserve">З метою забезпечення виконання процедур погашення (списання) заборгованості на умовах визначених даним Розділом, встановлюється заборона на примусове стягнення заборгованості суб’єктів ринку природного газу, визначеної статтею 60 даного Закону. </w:t>
            </w:r>
          </w:p>
          <w:p w:rsidR="00C11520" w:rsidRPr="00701741" w:rsidRDefault="00C11520" w:rsidP="00C16923">
            <w:pPr>
              <w:pStyle w:val="a3"/>
              <w:numPr>
                <w:ilvl w:val="0"/>
                <w:numId w:val="7"/>
              </w:numPr>
              <w:spacing w:before="0" w:line="276" w:lineRule="auto"/>
              <w:ind w:left="0" w:firstLine="0"/>
              <w:rPr>
                <w:rFonts w:ascii="Times New Roman" w:hAnsi="Times New Roman"/>
                <w:b/>
                <w:bCs/>
                <w:color w:val="000000"/>
                <w:sz w:val="28"/>
                <w:szCs w:val="28"/>
              </w:rPr>
            </w:pPr>
            <w:r w:rsidRPr="00701741">
              <w:rPr>
                <w:rFonts w:ascii="Times New Roman" w:hAnsi="Times New Roman"/>
                <w:b/>
                <w:bCs/>
                <w:color w:val="000000"/>
                <w:sz w:val="28"/>
                <w:szCs w:val="28"/>
              </w:rPr>
              <w:t>Виконавчі провадження, предметом яких є виконання судових рішень про стягнення заборгованості, що підлягає погашенню (списанню) на умовах визначених даним Розділом, підлягають зупиненню, а після списання такої заборгованості підлягають закінченню.</w:t>
            </w:r>
          </w:p>
          <w:p w:rsidR="00C11520" w:rsidRPr="00701741" w:rsidRDefault="00C11520" w:rsidP="00C16923">
            <w:pPr>
              <w:pStyle w:val="a3"/>
              <w:numPr>
                <w:ilvl w:val="0"/>
                <w:numId w:val="7"/>
              </w:numPr>
              <w:spacing w:before="0" w:line="276" w:lineRule="auto"/>
              <w:ind w:left="0" w:firstLine="0"/>
              <w:rPr>
                <w:rFonts w:ascii="Times New Roman" w:hAnsi="Times New Roman"/>
                <w:b/>
                <w:bCs/>
                <w:color w:val="000000"/>
                <w:sz w:val="28"/>
                <w:szCs w:val="28"/>
              </w:rPr>
            </w:pPr>
            <w:r w:rsidRPr="00701741">
              <w:rPr>
                <w:rFonts w:ascii="Times New Roman" w:hAnsi="Times New Roman"/>
                <w:b/>
                <w:bCs/>
                <w:color w:val="000000"/>
                <w:sz w:val="28"/>
                <w:szCs w:val="28"/>
              </w:rPr>
              <w:t>Не може бути порушено провадження у справі про банкрутство за заявою із безспірними грошовими вимогами, щодо стягнення заборгованості, яка є предметом погашення (списання) на умовах даного Розділу.»</w:t>
            </w:r>
          </w:p>
          <w:p w:rsidR="00EC6F82" w:rsidRPr="00701741" w:rsidRDefault="00EC6F82" w:rsidP="00C16923">
            <w:pPr>
              <w:spacing w:line="276" w:lineRule="auto"/>
              <w:jc w:val="both"/>
              <w:rPr>
                <w:b/>
                <w:bCs/>
                <w:color w:val="000000"/>
                <w:sz w:val="28"/>
                <w:szCs w:val="28"/>
              </w:rPr>
            </w:pPr>
          </w:p>
        </w:tc>
      </w:tr>
      <w:tr w:rsidR="00ED64DE" w:rsidRPr="00701741" w:rsidTr="00B25EDE">
        <w:tc>
          <w:tcPr>
            <w:tcW w:w="14560" w:type="dxa"/>
            <w:gridSpan w:val="3"/>
          </w:tcPr>
          <w:p w:rsidR="00ED64DE" w:rsidRPr="00701741" w:rsidRDefault="00ED64DE" w:rsidP="00C16923">
            <w:pPr>
              <w:spacing w:line="276" w:lineRule="auto"/>
              <w:jc w:val="center"/>
              <w:rPr>
                <w:b/>
                <w:sz w:val="28"/>
                <w:szCs w:val="28"/>
              </w:rPr>
            </w:pPr>
            <w:r w:rsidRPr="00701741">
              <w:rPr>
                <w:b/>
                <w:sz w:val="28"/>
                <w:szCs w:val="28"/>
              </w:rPr>
              <w:lastRenderedPageBreak/>
              <w:t>Закон України «Про виконавче провадження»</w:t>
            </w:r>
          </w:p>
        </w:tc>
      </w:tr>
      <w:tr w:rsidR="00ED64DE" w:rsidRPr="00701741" w:rsidTr="00B25EDE">
        <w:tc>
          <w:tcPr>
            <w:tcW w:w="14560" w:type="dxa"/>
            <w:gridSpan w:val="3"/>
          </w:tcPr>
          <w:p w:rsidR="00ED64DE" w:rsidRPr="00701741" w:rsidRDefault="00ED64DE" w:rsidP="00C16923">
            <w:pPr>
              <w:spacing w:line="276" w:lineRule="auto"/>
              <w:jc w:val="center"/>
              <w:rPr>
                <w:b/>
                <w:sz w:val="28"/>
                <w:szCs w:val="28"/>
              </w:rPr>
            </w:pPr>
            <w:r w:rsidRPr="00701741">
              <w:rPr>
                <w:b/>
                <w:sz w:val="28"/>
                <w:szCs w:val="28"/>
              </w:rPr>
              <w:t>Розділ IV</w:t>
            </w:r>
          </w:p>
          <w:p w:rsidR="00ED64DE" w:rsidRPr="00701741" w:rsidRDefault="00ED64DE" w:rsidP="00C16923">
            <w:pPr>
              <w:spacing w:line="276" w:lineRule="auto"/>
              <w:jc w:val="center"/>
              <w:rPr>
                <w:b/>
                <w:sz w:val="28"/>
                <w:szCs w:val="28"/>
              </w:rPr>
            </w:pPr>
            <w:r w:rsidRPr="00701741">
              <w:rPr>
                <w:b/>
                <w:sz w:val="28"/>
                <w:szCs w:val="28"/>
              </w:rPr>
              <w:t>ЗАГАЛЬНІ УМОВИ ТА ПОРЯДОК ЗДІЙСНЕННЯ ВИКОНАВЧОГО ПРОВАДЖЕННЯ</w:t>
            </w:r>
          </w:p>
        </w:tc>
      </w:tr>
      <w:tr w:rsidR="00ED64DE" w:rsidRPr="00701741" w:rsidTr="00B25EDE">
        <w:trPr>
          <w:trHeight w:val="156"/>
        </w:trPr>
        <w:tc>
          <w:tcPr>
            <w:tcW w:w="14560" w:type="dxa"/>
            <w:gridSpan w:val="3"/>
          </w:tcPr>
          <w:p w:rsidR="00ED64DE" w:rsidRPr="00701741" w:rsidRDefault="00ED64DE" w:rsidP="00C16923">
            <w:pPr>
              <w:spacing w:line="276" w:lineRule="auto"/>
              <w:jc w:val="center"/>
              <w:rPr>
                <w:b/>
                <w:sz w:val="28"/>
                <w:szCs w:val="28"/>
              </w:rPr>
            </w:pPr>
            <w:r w:rsidRPr="00701741">
              <w:rPr>
                <w:b/>
                <w:sz w:val="28"/>
                <w:szCs w:val="28"/>
              </w:rPr>
              <w:t>Стаття 27. Виконавчий збір</w:t>
            </w:r>
          </w:p>
        </w:tc>
      </w:tr>
      <w:tr w:rsidR="00ED64DE" w:rsidRPr="00701741" w:rsidTr="00B25EDE">
        <w:trPr>
          <w:trHeight w:val="1905"/>
        </w:trPr>
        <w:tc>
          <w:tcPr>
            <w:tcW w:w="7078" w:type="dxa"/>
            <w:gridSpan w:val="2"/>
          </w:tcPr>
          <w:p w:rsidR="00ED64DE" w:rsidRPr="00701741" w:rsidRDefault="00ED64DE" w:rsidP="00C16923">
            <w:pPr>
              <w:spacing w:line="276" w:lineRule="auto"/>
              <w:rPr>
                <w:rStyle w:val="rvts0"/>
                <w:sz w:val="28"/>
                <w:szCs w:val="28"/>
              </w:rPr>
            </w:pPr>
            <w:r w:rsidRPr="00701741">
              <w:rPr>
                <w:sz w:val="28"/>
                <w:szCs w:val="28"/>
              </w:rPr>
              <w:t>5. Виконавчий збір не стягується:</w:t>
            </w:r>
          </w:p>
          <w:p w:rsidR="00ED64DE" w:rsidRPr="00701741" w:rsidRDefault="00ED64DE" w:rsidP="00C16923">
            <w:pPr>
              <w:spacing w:line="276" w:lineRule="auto"/>
              <w:rPr>
                <w:sz w:val="28"/>
                <w:szCs w:val="28"/>
              </w:rPr>
            </w:pPr>
            <w:r w:rsidRPr="00701741">
              <w:rPr>
                <w:sz w:val="28"/>
                <w:szCs w:val="28"/>
              </w:rPr>
              <w:t>/…/</w:t>
            </w:r>
          </w:p>
          <w:p w:rsidR="00ED64DE" w:rsidRPr="00701741" w:rsidRDefault="00ED64DE" w:rsidP="00C16923">
            <w:pPr>
              <w:spacing w:line="276" w:lineRule="auto"/>
              <w:rPr>
                <w:sz w:val="28"/>
                <w:szCs w:val="28"/>
              </w:rPr>
            </w:pPr>
            <w:r w:rsidRPr="00701741">
              <w:rPr>
                <w:sz w:val="28"/>
                <w:szCs w:val="28"/>
              </w:rPr>
              <w:t>Норма відсутня</w:t>
            </w:r>
          </w:p>
          <w:p w:rsidR="00ED64DE" w:rsidRPr="00701741" w:rsidRDefault="00ED64DE" w:rsidP="00C16923">
            <w:pPr>
              <w:spacing w:line="276" w:lineRule="auto"/>
              <w:rPr>
                <w:sz w:val="28"/>
                <w:szCs w:val="28"/>
              </w:rPr>
            </w:pPr>
          </w:p>
        </w:tc>
        <w:tc>
          <w:tcPr>
            <w:tcW w:w="7482" w:type="dxa"/>
          </w:tcPr>
          <w:p w:rsidR="00ED64DE" w:rsidRPr="00701741" w:rsidRDefault="00ED64DE" w:rsidP="00C16923">
            <w:pPr>
              <w:spacing w:line="276" w:lineRule="auto"/>
              <w:rPr>
                <w:sz w:val="28"/>
                <w:szCs w:val="28"/>
              </w:rPr>
            </w:pPr>
            <w:r w:rsidRPr="00701741">
              <w:rPr>
                <w:sz w:val="28"/>
                <w:szCs w:val="28"/>
              </w:rPr>
              <w:t>Частину п'яту доповнити пунктом 7 такого змісту:</w:t>
            </w:r>
          </w:p>
          <w:p w:rsidR="00ED64DE" w:rsidRPr="00701741" w:rsidRDefault="00ED64DE" w:rsidP="00C16923">
            <w:pPr>
              <w:spacing w:line="276" w:lineRule="auto"/>
              <w:rPr>
                <w:sz w:val="28"/>
                <w:szCs w:val="28"/>
              </w:rPr>
            </w:pPr>
          </w:p>
          <w:p w:rsidR="00ED64DE" w:rsidRPr="00701741" w:rsidRDefault="00ED64DE" w:rsidP="00C16923">
            <w:pPr>
              <w:spacing w:line="276" w:lineRule="auto"/>
              <w:jc w:val="both"/>
              <w:rPr>
                <w:b/>
                <w:sz w:val="28"/>
                <w:szCs w:val="28"/>
              </w:rPr>
            </w:pPr>
            <w:r w:rsidRPr="00701741">
              <w:rPr>
                <w:b/>
                <w:sz w:val="28"/>
                <w:szCs w:val="28"/>
              </w:rPr>
              <w:t xml:space="preserve">«7) </w:t>
            </w:r>
            <w:r w:rsidR="0082300A" w:rsidRPr="00701741">
              <w:rPr>
                <w:b/>
                <w:color w:val="000000" w:themeColor="text1"/>
                <w:sz w:val="28"/>
                <w:szCs w:val="28"/>
              </w:rPr>
              <w:t xml:space="preserve">за виконавчими документами про стягнення заборгованості, що підлягає врегулюванню відповідно до Розділу </w:t>
            </w:r>
            <w:r w:rsidR="007F2354" w:rsidRPr="00701741">
              <w:rPr>
                <w:b/>
                <w:bCs/>
                <w:color w:val="000000" w:themeColor="text1"/>
                <w:sz w:val="28"/>
                <w:szCs w:val="28"/>
              </w:rPr>
              <w:t>VI</w:t>
            </w:r>
            <w:r w:rsidR="007F2354" w:rsidRPr="00701741">
              <w:rPr>
                <w:b/>
                <w:bCs/>
                <w:color w:val="000000" w:themeColor="text1"/>
                <w:sz w:val="28"/>
                <w:szCs w:val="28"/>
                <w:vertAlign w:val="superscript"/>
              </w:rPr>
              <w:t>1</w:t>
            </w:r>
            <w:r w:rsidR="007F2354" w:rsidRPr="00701741">
              <w:rPr>
                <w:color w:val="000000" w:themeColor="text1"/>
                <w:sz w:val="28"/>
                <w:szCs w:val="28"/>
              </w:rPr>
              <w:t xml:space="preserve"> </w:t>
            </w:r>
            <w:r w:rsidR="0082300A" w:rsidRPr="00701741">
              <w:rPr>
                <w:b/>
                <w:color w:val="000000" w:themeColor="text1"/>
                <w:sz w:val="28"/>
                <w:szCs w:val="28"/>
              </w:rPr>
              <w:t>Закону України «Про ринок природного газу</w:t>
            </w:r>
            <w:r w:rsidRPr="00701741">
              <w:rPr>
                <w:b/>
                <w:sz w:val="28"/>
                <w:szCs w:val="28"/>
              </w:rPr>
              <w:t>»;</w:t>
            </w:r>
          </w:p>
          <w:p w:rsidR="00ED64DE" w:rsidRPr="00701741" w:rsidRDefault="00ED64DE" w:rsidP="00C16923">
            <w:pPr>
              <w:spacing w:line="276" w:lineRule="auto"/>
              <w:rPr>
                <w:sz w:val="28"/>
                <w:szCs w:val="28"/>
              </w:rPr>
            </w:pPr>
          </w:p>
        </w:tc>
      </w:tr>
      <w:tr w:rsidR="00ED64DE" w:rsidRPr="00701741" w:rsidTr="00B25EDE">
        <w:trPr>
          <w:trHeight w:val="243"/>
        </w:trPr>
        <w:tc>
          <w:tcPr>
            <w:tcW w:w="14560" w:type="dxa"/>
            <w:gridSpan w:val="3"/>
          </w:tcPr>
          <w:p w:rsidR="00ED64DE" w:rsidRPr="00701741" w:rsidRDefault="00ED64DE" w:rsidP="00C16923">
            <w:pPr>
              <w:spacing w:line="276" w:lineRule="auto"/>
              <w:jc w:val="center"/>
              <w:rPr>
                <w:b/>
                <w:sz w:val="28"/>
                <w:szCs w:val="28"/>
              </w:rPr>
            </w:pPr>
            <w:r w:rsidRPr="00701741">
              <w:rPr>
                <w:b/>
                <w:sz w:val="28"/>
                <w:szCs w:val="28"/>
              </w:rPr>
              <w:t xml:space="preserve"> Стаття 34. Зупинення вчинення виконавчих дій</w:t>
            </w:r>
          </w:p>
        </w:tc>
      </w:tr>
      <w:tr w:rsidR="00ED64DE" w:rsidRPr="00701741" w:rsidTr="00B25EDE">
        <w:trPr>
          <w:trHeight w:val="1905"/>
        </w:trPr>
        <w:tc>
          <w:tcPr>
            <w:tcW w:w="7078" w:type="dxa"/>
            <w:gridSpan w:val="2"/>
          </w:tcPr>
          <w:p w:rsidR="00ED64DE" w:rsidRPr="00701741" w:rsidRDefault="00ED64DE" w:rsidP="00C16923">
            <w:pPr>
              <w:spacing w:line="276" w:lineRule="auto"/>
              <w:rPr>
                <w:sz w:val="28"/>
                <w:szCs w:val="28"/>
              </w:rPr>
            </w:pPr>
            <w:r w:rsidRPr="00701741">
              <w:rPr>
                <w:sz w:val="28"/>
                <w:szCs w:val="28"/>
              </w:rPr>
              <w:t xml:space="preserve">1. Виконавець зупиняє вчинення виконавчих дій у разі: </w:t>
            </w:r>
          </w:p>
          <w:p w:rsidR="00ED64DE" w:rsidRPr="00701741" w:rsidRDefault="00ED64DE" w:rsidP="00C16923">
            <w:pPr>
              <w:spacing w:line="276" w:lineRule="auto"/>
              <w:rPr>
                <w:sz w:val="28"/>
                <w:szCs w:val="28"/>
              </w:rPr>
            </w:pPr>
            <w:r w:rsidRPr="00701741">
              <w:rPr>
                <w:sz w:val="28"/>
                <w:szCs w:val="28"/>
              </w:rPr>
              <w:t>/…/</w:t>
            </w:r>
          </w:p>
          <w:p w:rsidR="00ED64DE" w:rsidRPr="00701741" w:rsidRDefault="00ED64DE" w:rsidP="00C16923">
            <w:pPr>
              <w:spacing w:line="276" w:lineRule="auto"/>
              <w:rPr>
                <w:b/>
                <w:sz w:val="28"/>
                <w:szCs w:val="28"/>
              </w:rPr>
            </w:pPr>
            <w:r w:rsidRPr="00701741">
              <w:rPr>
                <w:sz w:val="28"/>
                <w:szCs w:val="28"/>
              </w:rPr>
              <w:t>Норма відсутня</w:t>
            </w:r>
          </w:p>
        </w:tc>
        <w:tc>
          <w:tcPr>
            <w:tcW w:w="7482" w:type="dxa"/>
          </w:tcPr>
          <w:p w:rsidR="00ED64DE" w:rsidRPr="00701741" w:rsidRDefault="00ED64DE" w:rsidP="00C16923">
            <w:pPr>
              <w:spacing w:line="276" w:lineRule="auto"/>
              <w:rPr>
                <w:sz w:val="28"/>
                <w:szCs w:val="28"/>
              </w:rPr>
            </w:pPr>
            <w:r w:rsidRPr="00701741">
              <w:rPr>
                <w:sz w:val="28"/>
                <w:szCs w:val="28"/>
              </w:rPr>
              <w:t>Частину першу доповнити пунктом 15 такого змісту:</w:t>
            </w:r>
          </w:p>
          <w:p w:rsidR="00ED64DE" w:rsidRPr="00701741" w:rsidRDefault="00ED64DE" w:rsidP="00C16923">
            <w:pPr>
              <w:spacing w:line="276" w:lineRule="auto"/>
              <w:rPr>
                <w:sz w:val="28"/>
                <w:szCs w:val="28"/>
              </w:rPr>
            </w:pPr>
          </w:p>
          <w:p w:rsidR="00ED64DE" w:rsidRPr="00701741" w:rsidRDefault="00ED64DE" w:rsidP="00C16923">
            <w:pPr>
              <w:spacing w:line="276" w:lineRule="auto"/>
              <w:jc w:val="both"/>
              <w:rPr>
                <w:b/>
                <w:sz w:val="28"/>
                <w:szCs w:val="28"/>
              </w:rPr>
            </w:pPr>
            <w:r w:rsidRPr="00701741">
              <w:rPr>
                <w:b/>
                <w:sz w:val="28"/>
                <w:szCs w:val="28"/>
              </w:rPr>
              <w:t xml:space="preserve">«15) </w:t>
            </w:r>
            <w:r w:rsidR="0082300A" w:rsidRPr="00701741">
              <w:rPr>
                <w:b/>
                <w:color w:val="000000" w:themeColor="text1"/>
                <w:sz w:val="28"/>
                <w:szCs w:val="28"/>
              </w:rPr>
              <w:t xml:space="preserve">якщо сума, що стягується підлягає врегулюванню відповідно до процедур передбачених Розділом </w:t>
            </w:r>
            <w:r w:rsidR="007F2354" w:rsidRPr="00701741">
              <w:rPr>
                <w:b/>
                <w:bCs/>
                <w:color w:val="000000" w:themeColor="text1"/>
                <w:sz w:val="28"/>
                <w:szCs w:val="28"/>
              </w:rPr>
              <w:t>VI</w:t>
            </w:r>
            <w:r w:rsidR="007F2354" w:rsidRPr="00701741">
              <w:rPr>
                <w:b/>
                <w:bCs/>
                <w:color w:val="000000" w:themeColor="text1"/>
                <w:sz w:val="28"/>
                <w:szCs w:val="28"/>
                <w:vertAlign w:val="superscript"/>
              </w:rPr>
              <w:t xml:space="preserve">1 </w:t>
            </w:r>
            <w:r w:rsidR="0082300A" w:rsidRPr="00701741">
              <w:rPr>
                <w:b/>
                <w:color w:val="000000" w:themeColor="text1"/>
                <w:sz w:val="28"/>
                <w:szCs w:val="28"/>
              </w:rPr>
              <w:t>Закону України «Про ринок природного газу», на строк необхідний для</w:t>
            </w:r>
            <w:r w:rsidR="0082300A" w:rsidRPr="00701741">
              <w:rPr>
                <w:b/>
                <w:sz w:val="28"/>
                <w:szCs w:val="28"/>
              </w:rPr>
              <w:t xml:space="preserve"> врегулювання (розстрочення/списання) такої заборгованості</w:t>
            </w:r>
            <w:r w:rsidRPr="00701741">
              <w:rPr>
                <w:b/>
                <w:sz w:val="28"/>
                <w:szCs w:val="28"/>
              </w:rPr>
              <w:t xml:space="preserve">»; </w:t>
            </w:r>
          </w:p>
        </w:tc>
      </w:tr>
      <w:tr w:rsidR="00ED64DE" w:rsidRPr="00701741" w:rsidTr="00B25EDE">
        <w:tc>
          <w:tcPr>
            <w:tcW w:w="14560" w:type="dxa"/>
            <w:gridSpan w:val="3"/>
          </w:tcPr>
          <w:p w:rsidR="00ED64DE" w:rsidRPr="00701741" w:rsidRDefault="00ED64DE" w:rsidP="00C16923">
            <w:pPr>
              <w:pStyle w:val="rvps2"/>
              <w:spacing w:before="0" w:beforeAutospacing="0" w:after="0" w:afterAutospacing="0" w:line="276" w:lineRule="auto"/>
              <w:jc w:val="center"/>
              <w:textAlignment w:val="baseline"/>
              <w:rPr>
                <w:b/>
                <w:sz w:val="28"/>
                <w:szCs w:val="28"/>
                <w:lang w:eastAsia="uk-UA"/>
              </w:rPr>
            </w:pPr>
            <w:r w:rsidRPr="00701741">
              <w:rPr>
                <w:b/>
                <w:sz w:val="28"/>
                <w:szCs w:val="28"/>
                <w:lang w:eastAsia="uk-UA"/>
              </w:rPr>
              <w:t>Стаття 35. Строки зупинення вчинення виконавчих дій</w:t>
            </w:r>
          </w:p>
        </w:tc>
      </w:tr>
      <w:tr w:rsidR="00ED64DE" w:rsidRPr="00701741" w:rsidTr="00B25EDE">
        <w:tc>
          <w:tcPr>
            <w:tcW w:w="7078" w:type="dxa"/>
            <w:gridSpan w:val="2"/>
          </w:tcPr>
          <w:p w:rsidR="00ED64DE" w:rsidRPr="00701741" w:rsidRDefault="00ED64DE" w:rsidP="00C16923">
            <w:pPr>
              <w:spacing w:line="276" w:lineRule="auto"/>
              <w:rPr>
                <w:sz w:val="28"/>
                <w:szCs w:val="28"/>
              </w:rPr>
            </w:pPr>
          </w:p>
          <w:p w:rsidR="00ED64DE" w:rsidRPr="00701741" w:rsidRDefault="00ED64DE" w:rsidP="00C16923">
            <w:pPr>
              <w:spacing w:line="276" w:lineRule="auto"/>
              <w:rPr>
                <w:sz w:val="28"/>
                <w:szCs w:val="28"/>
              </w:rPr>
            </w:pPr>
          </w:p>
          <w:p w:rsidR="00ED64DE" w:rsidRPr="00701741" w:rsidRDefault="00ED64DE" w:rsidP="00C16923">
            <w:pPr>
              <w:spacing w:line="276" w:lineRule="auto"/>
              <w:rPr>
                <w:sz w:val="28"/>
                <w:szCs w:val="28"/>
              </w:rPr>
            </w:pPr>
            <w:r w:rsidRPr="00701741">
              <w:rPr>
                <w:sz w:val="28"/>
                <w:szCs w:val="28"/>
              </w:rPr>
              <w:t xml:space="preserve">4. Арешт, накладений виконавцем на майно боржника, у тому числі на кошти на рахунках боржника у банках та інших фінансових установах, протягом строку, на який виконавець зупиняє вчинення виконавчих дій, не </w:t>
            </w:r>
            <w:r w:rsidRPr="00701741">
              <w:rPr>
                <w:sz w:val="28"/>
                <w:szCs w:val="28"/>
              </w:rPr>
              <w:lastRenderedPageBreak/>
              <w:t xml:space="preserve">знімається, крім випадку, передбаченого </w:t>
            </w:r>
            <w:r w:rsidRPr="00701741">
              <w:rPr>
                <w:b/>
                <w:bCs/>
                <w:sz w:val="28"/>
                <w:szCs w:val="28"/>
              </w:rPr>
              <w:t>пунктом 10</w:t>
            </w:r>
            <w:r w:rsidRPr="00701741">
              <w:rPr>
                <w:sz w:val="28"/>
                <w:szCs w:val="28"/>
              </w:rPr>
              <w:t xml:space="preserve"> частини першої статті 34 цього Закону. У період зупинення вчинення виконавчих дій виконавець має право звертатися до суду в порядку, встановленому цим Законом, а також вживати заходів до розшуку боржника (його майна) або проведення перевірки його майнового стану.</w:t>
            </w:r>
          </w:p>
        </w:tc>
        <w:tc>
          <w:tcPr>
            <w:tcW w:w="7482" w:type="dxa"/>
          </w:tcPr>
          <w:p w:rsidR="00ED64DE" w:rsidRPr="00701741" w:rsidRDefault="00ED64DE" w:rsidP="00C16923">
            <w:pPr>
              <w:pStyle w:val="a3"/>
              <w:spacing w:before="0" w:line="276" w:lineRule="auto"/>
              <w:ind w:firstLine="0"/>
              <w:rPr>
                <w:rFonts w:ascii="Times New Roman" w:hAnsi="Times New Roman"/>
                <w:sz w:val="28"/>
                <w:szCs w:val="28"/>
                <w:lang w:eastAsia="uk-UA"/>
              </w:rPr>
            </w:pPr>
            <w:r w:rsidRPr="00701741">
              <w:rPr>
                <w:rFonts w:ascii="Times New Roman" w:hAnsi="Times New Roman"/>
                <w:sz w:val="28"/>
                <w:szCs w:val="28"/>
                <w:lang w:eastAsia="uk-UA"/>
              </w:rPr>
              <w:lastRenderedPageBreak/>
              <w:t xml:space="preserve">Частину четверту статті 35 </w:t>
            </w:r>
            <w:bookmarkStart w:id="6" w:name="n99"/>
            <w:bookmarkEnd w:id="6"/>
            <w:r w:rsidRPr="00701741">
              <w:rPr>
                <w:rFonts w:ascii="Times New Roman" w:hAnsi="Times New Roman"/>
                <w:sz w:val="28"/>
                <w:szCs w:val="28"/>
                <w:lang w:eastAsia="uk-UA"/>
              </w:rPr>
              <w:t>викласти в такій редакції:</w:t>
            </w:r>
          </w:p>
          <w:p w:rsidR="00ED64DE" w:rsidRPr="00701741" w:rsidRDefault="00ED64DE" w:rsidP="00C16923">
            <w:pPr>
              <w:pStyle w:val="a3"/>
              <w:spacing w:before="0" w:line="276" w:lineRule="auto"/>
              <w:ind w:firstLine="0"/>
              <w:rPr>
                <w:rFonts w:ascii="Times New Roman" w:hAnsi="Times New Roman"/>
                <w:sz w:val="28"/>
                <w:szCs w:val="28"/>
                <w:lang w:eastAsia="uk-UA"/>
              </w:rPr>
            </w:pPr>
          </w:p>
          <w:p w:rsidR="00ED64DE" w:rsidRPr="00701741" w:rsidRDefault="00ED64DE" w:rsidP="00C16923">
            <w:pPr>
              <w:spacing w:line="276" w:lineRule="auto"/>
              <w:rPr>
                <w:sz w:val="28"/>
                <w:szCs w:val="28"/>
                <w:lang w:eastAsia="uk-UA"/>
              </w:rPr>
            </w:pPr>
            <w:r w:rsidRPr="00701741">
              <w:rPr>
                <w:sz w:val="28"/>
                <w:szCs w:val="28"/>
              </w:rPr>
              <w:t xml:space="preserve">«4. Арешт, накладений виконавцем на майно боржника, у тому числі на кошти на рахунках боржника у банках та інших фінансових установах, протягом строку, на який виконавець зупиняє вчинення виконавчих дій, не </w:t>
            </w:r>
            <w:r w:rsidRPr="00701741">
              <w:rPr>
                <w:sz w:val="28"/>
                <w:szCs w:val="28"/>
              </w:rPr>
              <w:lastRenderedPageBreak/>
              <w:t xml:space="preserve">знімається, крім випадку, передбаченого </w:t>
            </w:r>
            <w:r w:rsidRPr="00701741">
              <w:rPr>
                <w:b/>
                <w:bCs/>
                <w:sz w:val="28"/>
                <w:szCs w:val="28"/>
              </w:rPr>
              <w:t>пунктами 10, 15 частини</w:t>
            </w:r>
            <w:r w:rsidRPr="00701741">
              <w:rPr>
                <w:sz w:val="28"/>
                <w:szCs w:val="28"/>
              </w:rPr>
              <w:t xml:space="preserve"> першої статті 34 цього Закону. У період зупинення вчинення виконавчих дій виконавець має право звертатися до суду в порядку, встановленому цим Законом, а також вживати заходів до розшуку боржника (його майна) або проведення перевірки його майнового стану.».</w:t>
            </w:r>
          </w:p>
        </w:tc>
      </w:tr>
      <w:tr w:rsidR="00ED64DE" w:rsidRPr="00701741" w:rsidTr="00B25EDE">
        <w:tc>
          <w:tcPr>
            <w:tcW w:w="14560" w:type="dxa"/>
            <w:gridSpan w:val="3"/>
          </w:tcPr>
          <w:p w:rsidR="00ED64DE" w:rsidRPr="00701741" w:rsidRDefault="00ED64DE" w:rsidP="00C16923">
            <w:pPr>
              <w:pStyle w:val="a3"/>
              <w:spacing w:before="0" w:line="276" w:lineRule="auto"/>
              <w:ind w:firstLine="0"/>
              <w:jc w:val="center"/>
              <w:rPr>
                <w:rFonts w:ascii="Times New Roman" w:hAnsi="Times New Roman"/>
                <w:sz w:val="28"/>
                <w:szCs w:val="28"/>
              </w:rPr>
            </w:pPr>
            <w:r w:rsidRPr="00701741">
              <w:rPr>
                <w:rFonts w:ascii="Times New Roman" w:hAnsi="Times New Roman"/>
                <w:b/>
                <w:sz w:val="28"/>
                <w:szCs w:val="28"/>
              </w:rPr>
              <w:lastRenderedPageBreak/>
              <w:t>Стаття 39. Закінчення виконавчого провадження</w:t>
            </w:r>
          </w:p>
        </w:tc>
      </w:tr>
      <w:tr w:rsidR="00ED64DE" w:rsidRPr="00701741" w:rsidTr="00B25EDE">
        <w:trPr>
          <w:trHeight w:val="985"/>
        </w:trPr>
        <w:tc>
          <w:tcPr>
            <w:tcW w:w="7078" w:type="dxa"/>
            <w:gridSpan w:val="2"/>
          </w:tcPr>
          <w:p w:rsidR="00ED64DE" w:rsidRPr="00701741" w:rsidRDefault="00ED64DE" w:rsidP="00C16923">
            <w:pPr>
              <w:spacing w:line="276" w:lineRule="auto"/>
              <w:rPr>
                <w:sz w:val="28"/>
                <w:szCs w:val="28"/>
              </w:rPr>
            </w:pPr>
            <w:r w:rsidRPr="00701741">
              <w:rPr>
                <w:sz w:val="28"/>
                <w:szCs w:val="28"/>
              </w:rPr>
              <w:t>1. Виконавче провадження підлягає закінченню у разі:</w:t>
            </w:r>
          </w:p>
          <w:p w:rsidR="00ED64DE" w:rsidRPr="00701741" w:rsidRDefault="00ED64DE" w:rsidP="00C16923">
            <w:pPr>
              <w:spacing w:line="276" w:lineRule="auto"/>
              <w:rPr>
                <w:sz w:val="28"/>
                <w:szCs w:val="28"/>
              </w:rPr>
            </w:pPr>
            <w:r w:rsidRPr="00701741">
              <w:rPr>
                <w:sz w:val="28"/>
                <w:szCs w:val="28"/>
              </w:rPr>
              <w:t>/…/</w:t>
            </w:r>
          </w:p>
          <w:p w:rsidR="00ED64DE" w:rsidRPr="00701741" w:rsidRDefault="00ED64DE" w:rsidP="00C16923">
            <w:pPr>
              <w:spacing w:line="276" w:lineRule="auto"/>
              <w:rPr>
                <w:sz w:val="28"/>
                <w:szCs w:val="28"/>
              </w:rPr>
            </w:pPr>
            <w:r w:rsidRPr="00701741">
              <w:rPr>
                <w:sz w:val="28"/>
                <w:szCs w:val="28"/>
              </w:rPr>
              <w:t>Норма відсутня</w:t>
            </w:r>
          </w:p>
        </w:tc>
        <w:tc>
          <w:tcPr>
            <w:tcW w:w="7482" w:type="dxa"/>
          </w:tcPr>
          <w:p w:rsidR="00ED64DE" w:rsidRPr="00701741" w:rsidRDefault="00ED64DE" w:rsidP="00C16923">
            <w:pPr>
              <w:spacing w:line="276" w:lineRule="auto"/>
              <w:rPr>
                <w:sz w:val="28"/>
                <w:szCs w:val="28"/>
              </w:rPr>
            </w:pPr>
            <w:r w:rsidRPr="00701741">
              <w:rPr>
                <w:sz w:val="28"/>
                <w:szCs w:val="28"/>
              </w:rPr>
              <w:t>Частину першу доповнити пунктом 17 такого змісту:</w:t>
            </w:r>
          </w:p>
          <w:p w:rsidR="00ED64DE" w:rsidRPr="00701741" w:rsidRDefault="00ED64DE" w:rsidP="00C16923">
            <w:pPr>
              <w:spacing w:line="276" w:lineRule="auto"/>
              <w:rPr>
                <w:sz w:val="28"/>
                <w:szCs w:val="28"/>
              </w:rPr>
            </w:pPr>
          </w:p>
          <w:p w:rsidR="00ED64DE" w:rsidRPr="00701741" w:rsidRDefault="00ED64DE" w:rsidP="00C16923">
            <w:pPr>
              <w:spacing w:line="276" w:lineRule="auto"/>
              <w:rPr>
                <w:b/>
                <w:bCs/>
                <w:sz w:val="28"/>
                <w:szCs w:val="28"/>
              </w:rPr>
            </w:pPr>
            <w:r w:rsidRPr="00701741">
              <w:rPr>
                <w:b/>
                <w:bCs/>
                <w:sz w:val="28"/>
                <w:szCs w:val="28"/>
              </w:rPr>
              <w:t xml:space="preserve">«17) </w:t>
            </w:r>
            <w:r w:rsidR="0082300A" w:rsidRPr="00701741">
              <w:rPr>
                <w:b/>
                <w:bCs/>
                <w:color w:val="000000" w:themeColor="text1"/>
                <w:sz w:val="28"/>
                <w:szCs w:val="28"/>
              </w:rPr>
              <w:t xml:space="preserve">погашення (списання) згідно із Розділом </w:t>
            </w:r>
            <w:r w:rsidR="007F2354" w:rsidRPr="00701741">
              <w:rPr>
                <w:b/>
                <w:bCs/>
                <w:color w:val="000000" w:themeColor="text1"/>
                <w:sz w:val="28"/>
                <w:szCs w:val="28"/>
              </w:rPr>
              <w:t>VI</w:t>
            </w:r>
            <w:r w:rsidR="007F2354" w:rsidRPr="00701741">
              <w:rPr>
                <w:b/>
                <w:bCs/>
                <w:color w:val="000000" w:themeColor="text1"/>
                <w:sz w:val="28"/>
                <w:szCs w:val="28"/>
                <w:vertAlign w:val="superscript"/>
              </w:rPr>
              <w:t xml:space="preserve">1 </w:t>
            </w:r>
            <w:r w:rsidR="0082300A" w:rsidRPr="00701741">
              <w:rPr>
                <w:b/>
                <w:bCs/>
                <w:color w:val="000000" w:themeColor="text1"/>
                <w:sz w:val="28"/>
                <w:szCs w:val="28"/>
              </w:rPr>
              <w:t>Закону України «Про ринок природного газу» боргу, неустойки (штрафів, пені),</w:t>
            </w:r>
            <w:r w:rsidR="0082300A" w:rsidRPr="00701741">
              <w:rPr>
                <w:b/>
                <w:bCs/>
                <w:sz w:val="28"/>
                <w:szCs w:val="28"/>
              </w:rPr>
              <w:t xml:space="preserve"> інших штрафних, фінансових санкцій, а також інфляційних нарахувань і процентів річних, нарахованих на заборгованість учасників процедури врегулювання заборгованості, що підлягали виконанню на підставі виконавчого документа за судовим рішенням</w:t>
            </w:r>
            <w:r w:rsidRPr="00701741">
              <w:rPr>
                <w:b/>
                <w:bCs/>
                <w:sz w:val="28"/>
                <w:szCs w:val="28"/>
              </w:rPr>
              <w:t>».</w:t>
            </w:r>
          </w:p>
        </w:tc>
      </w:tr>
      <w:tr w:rsidR="00C11520" w:rsidRPr="00701741" w:rsidTr="00B25EDE">
        <w:trPr>
          <w:trHeight w:val="393"/>
        </w:trPr>
        <w:tc>
          <w:tcPr>
            <w:tcW w:w="14560" w:type="dxa"/>
            <w:gridSpan w:val="3"/>
          </w:tcPr>
          <w:p w:rsidR="00C11520" w:rsidRPr="00701741" w:rsidRDefault="00C11520" w:rsidP="00C16923">
            <w:pPr>
              <w:spacing w:line="276" w:lineRule="auto"/>
              <w:jc w:val="center"/>
              <w:rPr>
                <w:b/>
                <w:sz w:val="28"/>
                <w:szCs w:val="28"/>
              </w:rPr>
            </w:pPr>
            <w:bookmarkStart w:id="7" w:name="n470"/>
            <w:bookmarkEnd w:id="7"/>
            <w:r w:rsidRPr="00701741">
              <w:rPr>
                <w:b/>
                <w:sz w:val="28"/>
                <w:szCs w:val="28"/>
              </w:rPr>
              <w:t xml:space="preserve">Розділ VII </w:t>
            </w:r>
            <w:r w:rsidRPr="00701741">
              <w:rPr>
                <w:b/>
                <w:sz w:val="28"/>
                <w:szCs w:val="28"/>
              </w:rPr>
              <w:br/>
              <w:t>ПОРЯДОК ЗВЕРНЕННЯ СТЯГНЕННЯ НА МАЙНО БОРЖНИКА</w:t>
            </w:r>
          </w:p>
        </w:tc>
      </w:tr>
      <w:tr w:rsidR="00ED64DE" w:rsidRPr="00701741" w:rsidTr="00B25EDE">
        <w:trPr>
          <w:trHeight w:val="393"/>
        </w:trPr>
        <w:tc>
          <w:tcPr>
            <w:tcW w:w="14560" w:type="dxa"/>
            <w:gridSpan w:val="3"/>
          </w:tcPr>
          <w:p w:rsidR="00ED64DE" w:rsidRPr="00701741" w:rsidRDefault="00ED64DE" w:rsidP="00C16923">
            <w:pPr>
              <w:spacing w:line="276" w:lineRule="auto"/>
              <w:jc w:val="center"/>
              <w:rPr>
                <w:b/>
                <w:sz w:val="28"/>
                <w:szCs w:val="28"/>
              </w:rPr>
            </w:pPr>
            <w:r w:rsidRPr="00701741">
              <w:rPr>
                <w:b/>
                <w:sz w:val="28"/>
                <w:szCs w:val="28"/>
              </w:rPr>
              <w:t xml:space="preserve">Стаття 59. </w:t>
            </w:r>
            <w:r w:rsidRPr="00701741">
              <w:rPr>
                <w:rStyle w:val="rvts0"/>
                <w:b/>
                <w:sz w:val="28"/>
                <w:szCs w:val="28"/>
              </w:rPr>
              <w:t>Зняття арешту з майна</w:t>
            </w:r>
          </w:p>
        </w:tc>
      </w:tr>
      <w:tr w:rsidR="00ED64DE" w:rsidRPr="00701741" w:rsidTr="00B25EDE">
        <w:trPr>
          <w:trHeight w:val="985"/>
        </w:trPr>
        <w:tc>
          <w:tcPr>
            <w:tcW w:w="7078" w:type="dxa"/>
            <w:gridSpan w:val="2"/>
          </w:tcPr>
          <w:p w:rsidR="00ED64DE" w:rsidRPr="00701741" w:rsidRDefault="00ED64DE" w:rsidP="00C16923">
            <w:pPr>
              <w:pStyle w:val="rvps2"/>
              <w:spacing w:before="0" w:beforeAutospacing="0" w:after="0" w:afterAutospacing="0" w:line="276" w:lineRule="auto"/>
              <w:rPr>
                <w:sz w:val="28"/>
                <w:szCs w:val="28"/>
                <w:lang w:eastAsia="uk-UA"/>
              </w:rPr>
            </w:pPr>
          </w:p>
          <w:p w:rsidR="00ED64DE" w:rsidRPr="00701741" w:rsidRDefault="00ED64DE" w:rsidP="00C16923">
            <w:pPr>
              <w:pStyle w:val="rvps2"/>
              <w:spacing w:before="0" w:beforeAutospacing="0" w:after="0" w:afterAutospacing="0" w:line="276" w:lineRule="auto"/>
              <w:rPr>
                <w:sz w:val="28"/>
                <w:szCs w:val="28"/>
                <w:lang w:eastAsia="uk-UA"/>
              </w:rPr>
            </w:pPr>
            <w:r w:rsidRPr="00701741">
              <w:rPr>
                <w:sz w:val="28"/>
                <w:szCs w:val="28"/>
                <w:lang w:eastAsia="uk-UA"/>
              </w:rPr>
              <w:t xml:space="preserve">2. У разі набрання законної сили судовим рішенням про зняття арешту з майна боржника арешт з такого майна знімається згідно з постановою виконавця не пізніше наступного дня, коли йому стало відомо про такі </w:t>
            </w:r>
            <w:r w:rsidRPr="00701741">
              <w:rPr>
                <w:sz w:val="28"/>
                <w:szCs w:val="28"/>
                <w:lang w:eastAsia="uk-UA"/>
              </w:rPr>
              <w:lastRenderedPageBreak/>
              <w:t>обставини.</w:t>
            </w:r>
          </w:p>
          <w:p w:rsidR="00ED64DE" w:rsidRPr="00701741" w:rsidRDefault="00ED64DE" w:rsidP="00C16923">
            <w:pPr>
              <w:pStyle w:val="rvps2"/>
              <w:spacing w:before="0" w:beforeAutospacing="0" w:after="0" w:afterAutospacing="0" w:line="276" w:lineRule="auto"/>
              <w:rPr>
                <w:sz w:val="28"/>
                <w:szCs w:val="28"/>
              </w:rPr>
            </w:pPr>
            <w:bookmarkStart w:id="8" w:name="n568"/>
            <w:bookmarkEnd w:id="8"/>
            <w:r w:rsidRPr="00701741">
              <w:rPr>
                <w:sz w:val="28"/>
                <w:szCs w:val="28"/>
                <w:lang w:eastAsia="uk-UA"/>
              </w:rPr>
              <w:t xml:space="preserve">Виконавець зобов’язаний зняти арешт з коштів на рахунку боржника не пізніше наступного робочого дня з дня надходження від банку документів, які підтверджують, що на кошти, які знаходяться на рахунку, заборонено звертати стягнення згідно із цим Законом, а також у випадку, передбаченому </w:t>
            </w:r>
            <w:r w:rsidRPr="00701741">
              <w:rPr>
                <w:b/>
                <w:bCs/>
                <w:sz w:val="28"/>
                <w:szCs w:val="28"/>
                <w:lang w:eastAsia="uk-UA"/>
              </w:rPr>
              <w:t>пунктом 10</w:t>
            </w:r>
            <w:r w:rsidRPr="00701741">
              <w:rPr>
                <w:sz w:val="28"/>
                <w:szCs w:val="28"/>
                <w:lang w:eastAsia="uk-UA"/>
              </w:rPr>
              <w:t xml:space="preserve"> частини першої статті 34 цього Закону.</w:t>
            </w:r>
          </w:p>
        </w:tc>
        <w:tc>
          <w:tcPr>
            <w:tcW w:w="7482" w:type="dxa"/>
          </w:tcPr>
          <w:p w:rsidR="00ED64DE" w:rsidRPr="00701741" w:rsidRDefault="00ED64DE" w:rsidP="00C16923">
            <w:pPr>
              <w:spacing w:line="276" w:lineRule="auto"/>
              <w:rPr>
                <w:sz w:val="28"/>
                <w:szCs w:val="28"/>
              </w:rPr>
            </w:pPr>
            <w:r w:rsidRPr="00701741">
              <w:rPr>
                <w:sz w:val="28"/>
                <w:szCs w:val="28"/>
              </w:rPr>
              <w:lastRenderedPageBreak/>
              <w:t>Внести зміни до частини 2 виклавши її в такій редакції:</w:t>
            </w:r>
          </w:p>
          <w:p w:rsidR="00ED64DE" w:rsidRPr="00701741" w:rsidRDefault="00ED64DE" w:rsidP="00C16923">
            <w:pPr>
              <w:pStyle w:val="rvps2"/>
              <w:spacing w:before="0" w:beforeAutospacing="0" w:after="0" w:afterAutospacing="0" w:line="276" w:lineRule="auto"/>
              <w:rPr>
                <w:sz w:val="28"/>
                <w:szCs w:val="28"/>
                <w:lang w:eastAsia="uk-UA"/>
              </w:rPr>
            </w:pPr>
            <w:r w:rsidRPr="00701741">
              <w:rPr>
                <w:sz w:val="28"/>
                <w:szCs w:val="28"/>
                <w:lang w:eastAsia="uk-UA"/>
              </w:rPr>
              <w:t>«2. У разі набрання законної сили судовим рішенням про зняття арешту з майна боржника арешт з такого майна знімається згідно з постановою виконавця не пізніше наступного дня, коли йому стало відомо про такі обставини.</w:t>
            </w:r>
          </w:p>
          <w:p w:rsidR="00ED64DE" w:rsidRPr="00701741" w:rsidRDefault="00ED64DE" w:rsidP="00C16923">
            <w:pPr>
              <w:pStyle w:val="rvps2"/>
              <w:spacing w:before="0" w:beforeAutospacing="0" w:after="0" w:afterAutospacing="0" w:line="276" w:lineRule="auto"/>
              <w:rPr>
                <w:sz w:val="28"/>
                <w:szCs w:val="28"/>
              </w:rPr>
            </w:pPr>
            <w:r w:rsidRPr="00701741">
              <w:rPr>
                <w:sz w:val="28"/>
                <w:szCs w:val="28"/>
                <w:lang w:eastAsia="uk-UA"/>
              </w:rPr>
              <w:lastRenderedPageBreak/>
              <w:t xml:space="preserve">Виконавець зобов’язаний зняти арешт з коштів на рахунку боржника не пізніше наступного робочого дня з дня надходження від банку документів, які підтверджують, що на кошти, які знаходяться на рахунку, заборонено звертати стягнення згідно із цим Законом, а також у випадку, передбаченому </w:t>
            </w:r>
            <w:r w:rsidRPr="00701741">
              <w:rPr>
                <w:b/>
                <w:bCs/>
                <w:sz w:val="28"/>
                <w:szCs w:val="28"/>
                <w:lang w:eastAsia="uk-UA"/>
              </w:rPr>
              <w:t>пунктами 10, 15</w:t>
            </w:r>
            <w:r w:rsidRPr="00701741">
              <w:rPr>
                <w:sz w:val="28"/>
                <w:szCs w:val="28"/>
                <w:lang w:eastAsia="uk-UA"/>
              </w:rPr>
              <w:t xml:space="preserve"> частини першої статті 34 цього Закону.»</w:t>
            </w:r>
          </w:p>
        </w:tc>
      </w:tr>
    </w:tbl>
    <w:p w:rsidR="00701741" w:rsidRDefault="00701741" w:rsidP="00C16923">
      <w:pPr>
        <w:tabs>
          <w:tab w:val="left" w:pos="7200"/>
        </w:tabs>
        <w:spacing w:line="276" w:lineRule="auto"/>
        <w:rPr>
          <w:sz w:val="28"/>
          <w:szCs w:val="28"/>
        </w:rPr>
      </w:pPr>
    </w:p>
    <w:p w:rsidR="00C16923" w:rsidRDefault="00C16923" w:rsidP="00C16923">
      <w:pPr>
        <w:tabs>
          <w:tab w:val="left" w:pos="7200"/>
        </w:tabs>
        <w:spacing w:line="276" w:lineRule="auto"/>
        <w:rPr>
          <w:sz w:val="28"/>
          <w:szCs w:val="28"/>
        </w:rPr>
      </w:pPr>
    </w:p>
    <w:p w:rsidR="00C16923" w:rsidRPr="00701741" w:rsidRDefault="00C16923" w:rsidP="00C16923">
      <w:pPr>
        <w:tabs>
          <w:tab w:val="left" w:pos="7200"/>
        </w:tabs>
        <w:spacing w:line="276" w:lineRule="auto"/>
        <w:rPr>
          <w:sz w:val="28"/>
          <w:szCs w:val="28"/>
        </w:rPr>
      </w:pPr>
    </w:p>
    <w:p w:rsidR="00ED64DE" w:rsidRDefault="00701741" w:rsidP="00C16923">
      <w:pPr>
        <w:spacing w:line="276" w:lineRule="auto"/>
        <w:rPr>
          <w:b/>
          <w:sz w:val="28"/>
          <w:szCs w:val="28"/>
        </w:rPr>
      </w:pPr>
      <w:r w:rsidRPr="00701741">
        <w:rPr>
          <w:b/>
          <w:sz w:val="28"/>
          <w:szCs w:val="28"/>
        </w:rPr>
        <w:t>Народні депутати України</w:t>
      </w:r>
      <w:r w:rsidR="002D6991">
        <w:rPr>
          <w:b/>
          <w:sz w:val="28"/>
          <w:szCs w:val="28"/>
        </w:rPr>
        <w:tab/>
      </w:r>
      <w:r w:rsidR="002D6991">
        <w:rPr>
          <w:b/>
          <w:sz w:val="28"/>
          <w:szCs w:val="28"/>
        </w:rPr>
        <w:tab/>
      </w:r>
      <w:r w:rsidR="002D6991">
        <w:rPr>
          <w:b/>
          <w:sz w:val="28"/>
          <w:szCs w:val="28"/>
        </w:rPr>
        <w:tab/>
      </w:r>
      <w:r w:rsidR="002D6991">
        <w:rPr>
          <w:b/>
          <w:sz w:val="28"/>
          <w:szCs w:val="28"/>
        </w:rPr>
        <w:tab/>
      </w:r>
      <w:r w:rsidR="002D6991">
        <w:rPr>
          <w:b/>
          <w:sz w:val="28"/>
          <w:szCs w:val="28"/>
        </w:rPr>
        <w:tab/>
      </w:r>
      <w:r w:rsidR="002D6991">
        <w:rPr>
          <w:b/>
          <w:sz w:val="28"/>
          <w:szCs w:val="28"/>
        </w:rPr>
        <w:tab/>
      </w:r>
      <w:r w:rsidR="002D6991">
        <w:rPr>
          <w:b/>
          <w:sz w:val="28"/>
          <w:szCs w:val="28"/>
        </w:rPr>
        <w:tab/>
      </w:r>
      <w:r w:rsidR="002D6991">
        <w:rPr>
          <w:b/>
          <w:sz w:val="28"/>
          <w:szCs w:val="28"/>
        </w:rPr>
        <w:tab/>
      </w:r>
      <w:r w:rsidR="002D6991">
        <w:rPr>
          <w:b/>
          <w:sz w:val="28"/>
          <w:szCs w:val="28"/>
        </w:rPr>
        <w:tab/>
      </w:r>
      <w:r w:rsidR="002D6991">
        <w:rPr>
          <w:b/>
          <w:sz w:val="28"/>
          <w:szCs w:val="28"/>
        </w:rPr>
        <w:tab/>
      </w:r>
      <w:r w:rsidR="002D6991">
        <w:rPr>
          <w:b/>
          <w:sz w:val="28"/>
          <w:szCs w:val="28"/>
        </w:rPr>
        <w:tab/>
        <w:t>Кучеренко О.Ю</w:t>
      </w:r>
    </w:p>
    <w:p w:rsidR="002D6991" w:rsidRDefault="002D6991" w:rsidP="00C16923">
      <w:pPr>
        <w:spacing w:line="276" w:lineRule="auto"/>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Корнієнко О.С.</w:t>
      </w:r>
    </w:p>
    <w:p w:rsidR="002D6991" w:rsidRDefault="002D6991" w:rsidP="00C16923">
      <w:pPr>
        <w:spacing w:line="276" w:lineRule="auto"/>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Арахамія</w:t>
      </w:r>
      <w:proofErr w:type="spellEnd"/>
      <w:r>
        <w:rPr>
          <w:b/>
          <w:sz w:val="28"/>
          <w:szCs w:val="28"/>
        </w:rPr>
        <w:t xml:space="preserve"> Д.Г.</w:t>
      </w:r>
    </w:p>
    <w:p w:rsidR="002D6991" w:rsidRDefault="002D6991" w:rsidP="00C16923">
      <w:pPr>
        <w:spacing w:line="276" w:lineRule="auto"/>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Наталуха</w:t>
      </w:r>
      <w:proofErr w:type="spellEnd"/>
      <w:r>
        <w:rPr>
          <w:b/>
          <w:sz w:val="28"/>
          <w:szCs w:val="28"/>
        </w:rPr>
        <w:t xml:space="preserve"> Д.А.</w:t>
      </w:r>
    </w:p>
    <w:p w:rsidR="002D6991" w:rsidRDefault="002D6991" w:rsidP="00C16923">
      <w:pPr>
        <w:spacing w:line="276" w:lineRule="auto"/>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Кіт А.Б.</w:t>
      </w:r>
    </w:p>
    <w:p w:rsidR="002D6991" w:rsidRDefault="002D6991" w:rsidP="00C16923">
      <w:pPr>
        <w:spacing w:line="276" w:lineRule="auto"/>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Кубів С.І.</w:t>
      </w:r>
    </w:p>
    <w:p w:rsidR="002D6991" w:rsidRDefault="002D6991" w:rsidP="00C16923">
      <w:pPr>
        <w:spacing w:line="276" w:lineRule="auto"/>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Бондар В.В.</w:t>
      </w:r>
    </w:p>
    <w:p w:rsidR="002D6991" w:rsidRPr="002D6991" w:rsidRDefault="002D6991" w:rsidP="00C16923">
      <w:pPr>
        <w:spacing w:line="276" w:lineRule="auto"/>
        <w:rPr>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Рудик С.Я.</w:t>
      </w:r>
    </w:p>
    <w:sectPr w:rsidR="002D6991" w:rsidRPr="002D6991" w:rsidSect="00311985">
      <w:footerReference w:type="default" r:id="rId8"/>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DED" w:rsidRDefault="00F02DED" w:rsidP="00701741">
      <w:r>
        <w:separator/>
      </w:r>
    </w:p>
  </w:endnote>
  <w:endnote w:type="continuationSeparator" w:id="0">
    <w:p w:rsidR="00F02DED" w:rsidRDefault="00F02DED" w:rsidP="007017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546734"/>
      <w:docPartObj>
        <w:docPartGallery w:val="Page Numbers (Bottom of Page)"/>
        <w:docPartUnique/>
      </w:docPartObj>
    </w:sdtPr>
    <w:sdtContent>
      <w:p w:rsidR="00701741" w:rsidRDefault="00B87FAB">
        <w:pPr>
          <w:pStyle w:val="a8"/>
          <w:jc w:val="center"/>
        </w:pPr>
        <w:r>
          <w:fldChar w:fldCharType="begin"/>
        </w:r>
        <w:r w:rsidR="00701741">
          <w:instrText>PAGE   \* MERGEFORMAT</w:instrText>
        </w:r>
        <w:r>
          <w:fldChar w:fldCharType="separate"/>
        </w:r>
        <w:r w:rsidR="00E85F6E">
          <w:rPr>
            <w:noProof/>
          </w:rPr>
          <w:t>5</w:t>
        </w:r>
        <w:r>
          <w:fldChar w:fldCharType="end"/>
        </w:r>
      </w:p>
    </w:sdtContent>
  </w:sdt>
  <w:p w:rsidR="00701741" w:rsidRDefault="0070174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DED" w:rsidRDefault="00F02DED" w:rsidP="00701741">
      <w:r>
        <w:separator/>
      </w:r>
    </w:p>
  </w:footnote>
  <w:footnote w:type="continuationSeparator" w:id="0">
    <w:p w:rsidR="00F02DED" w:rsidRDefault="00F02DED" w:rsidP="007017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67259"/>
    <w:multiLevelType w:val="hybridMultilevel"/>
    <w:tmpl w:val="8ADA2DF2"/>
    <w:lvl w:ilvl="0" w:tplc="4C50148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3E57DD4"/>
    <w:multiLevelType w:val="hybridMultilevel"/>
    <w:tmpl w:val="704688EC"/>
    <w:lvl w:ilvl="0" w:tplc="C0B46A5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6DC21B2"/>
    <w:multiLevelType w:val="hybridMultilevel"/>
    <w:tmpl w:val="EC366F72"/>
    <w:lvl w:ilvl="0" w:tplc="5D3065B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7159D8"/>
    <w:multiLevelType w:val="hybridMultilevel"/>
    <w:tmpl w:val="502ABB58"/>
    <w:lvl w:ilvl="0" w:tplc="C8A60E78">
      <w:start w:val="1"/>
      <w:numFmt w:val="decimal"/>
      <w:lvlText w:val="%1)"/>
      <w:lvlJc w:val="left"/>
      <w:pPr>
        <w:ind w:left="1012" w:hanging="380"/>
      </w:pPr>
      <w:rPr>
        <w:rFonts w:hint="default"/>
      </w:rPr>
    </w:lvl>
    <w:lvl w:ilvl="1" w:tplc="04190019" w:tentative="1">
      <w:start w:val="1"/>
      <w:numFmt w:val="lowerLetter"/>
      <w:lvlText w:val="%2."/>
      <w:lvlJc w:val="left"/>
      <w:pPr>
        <w:ind w:left="1712" w:hanging="360"/>
      </w:pPr>
    </w:lvl>
    <w:lvl w:ilvl="2" w:tplc="0419001B" w:tentative="1">
      <w:start w:val="1"/>
      <w:numFmt w:val="lowerRoman"/>
      <w:lvlText w:val="%3."/>
      <w:lvlJc w:val="right"/>
      <w:pPr>
        <w:ind w:left="243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3872" w:hanging="360"/>
      </w:pPr>
    </w:lvl>
    <w:lvl w:ilvl="5" w:tplc="0419001B" w:tentative="1">
      <w:start w:val="1"/>
      <w:numFmt w:val="lowerRoman"/>
      <w:lvlText w:val="%6."/>
      <w:lvlJc w:val="right"/>
      <w:pPr>
        <w:ind w:left="4592" w:hanging="180"/>
      </w:pPr>
    </w:lvl>
    <w:lvl w:ilvl="6" w:tplc="0419000F" w:tentative="1">
      <w:start w:val="1"/>
      <w:numFmt w:val="decimal"/>
      <w:lvlText w:val="%7."/>
      <w:lvlJc w:val="left"/>
      <w:pPr>
        <w:ind w:left="5312" w:hanging="360"/>
      </w:pPr>
    </w:lvl>
    <w:lvl w:ilvl="7" w:tplc="04190019" w:tentative="1">
      <w:start w:val="1"/>
      <w:numFmt w:val="lowerLetter"/>
      <w:lvlText w:val="%8."/>
      <w:lvlJc w:val="left"/>
      <w:pPr>
        <w:ind w:left="6032" w:hanging="360"/>
      </w:pPr>
    </w:lvl>
    <w:lvl w:ilvl="8" w:tplc="0419001B" w:tentative="1">
      <w:start w:val="1"/>
      <w:numFmt w:val="lowerRoman"/>
      <w:lvlText w:val="%9."/>
      <w:lvlJc w:val="right"/>
      <w:pPr>
        <w:ind w:left="6752" w:hanging="180"/>
      </w:pPr>
    </w:lvl>
  </w:abstractNum>
  <w:abstractNum w:abstractNumId="4">
    <w:nsid w:val="33515566"/>
    <w:multiLevelType w:val="hybridMultilevel"/>
    <w:tmpl w:val="E8743AEA"/>
    <w:lvl w:ilvl="0" w:tplc="FF8AEB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F5A6FB6"/>
    <w:multiLevelType w:val="hybridMultilevel"/>
    <w:tmpl w:val="64407A9C"/>
    <w:lvl w:ilvl="0" w:tplc="4E5CA16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6">
    <w:nsid w:val="587E112C"/>
    <w:multiLevelType w:val="multilevel"/>
    <w:tmpl w:val="EB607B96"/>
    <w:lvl w:ilvl="0">
      <w:start w:val="1"/>
      <w:numFmt w:val="decimal"/>
      <w:lvlText w:val="%1-"/>
      <w:lvlJc w:val="left"/>
      <w:pPr>
        <w:ind w:left="460" w:hanging="4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79048B1"/>
    <w:multiLevelType w:val="hybridMultilevel"/>
    <w:tmpl w:val="8ADA2DF2"/>
    <w:lvl w:ilvl="0" w:tplc="4C50148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7D3D5CDD"/>
    <w:multiLevelType w:val="hybridMultilevel"/>
    <w:tmpl w:val="A4586F78"/>
    <w:lvl w:ilvl="0" w:tplc="14C62E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7"/>
  </w:num>
  <w:num w:numId="4">
    <w:abstractNumId w:val="8"/>
  </w:num>
  <w:num w:numId="5">
    <w:abstractNumId w:val="3"/>
  </w:num>
  <w:num w:numId="6">
    <w:abstractNumId w:val="4"/>
  </w:num>
  <w:num w:numId="7">
    <w:abstractNumId w:val="1"/>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D64DE"/>
    <w:rsid w:val="00216790"/>
    <w:rsid w:val="00222009"/>
    <w:rsid w:val="002D6991"/>
    <w:rsid w:val="002E5ECA"/>
    <w:rsid w:val="003C7C69"/>
    <w:rsid w:val="00530DCC"/>
    <w:rsid w:val="0054138C"/>
    <w:rsid w:val="0056474E"/>
    <w:rsid w:val="00701741"/>
    <w:rsid w:val="0073264A"/>
    <w:rsid w:val="007F2354"/>
    <w:rsid w:val="00822C8A"/>
    <w:rsid w:val="0082300A"/>
    <w:rsid w:val="00892E37"/>
    <w:rsid w:val="009D14B6"/>
    <w:rsid w:val="00B25EDE"/>
    <w:rsid w:val="00B63401"/>
    <w:rsid w:val="00B87FAB"/>
    <w:rsid w:val="00C11520"/>
    <w:rsid w:val="00C16923"/>
    <w:rsid w:val="00CF3CD0"/>
    <w:rsid w:val="00E85F6E"/>
    <w:rsid w:val="00EC6F82"/>
    <w:rsid w:val="00ED64DE"/>
    <w:rsid w:val="00EF657C"/>
    <w:rsid w:val="00F02DE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4DE"/>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D64DE"/>
    <w:pPr>
      <w:spacing w:before="100" w:beforeAutospacing="1" w:after="100" w:afterAutospacing="1"/>
    </w:pPr>
  </w:style>
  <w:style w:type="paragraph" w:customStyle="1" w:styleId="a3">
    <w:name w:val="Нормальний текст"/>
    <w:basedOn w:val="a"/>
    <w:uiPriority w:val="99"/>
    <w:rsid w:val="00ED64DE"/>
    <w:pPr>
      <w:spacing w:before="120"/>
      <w:ind w:firstLine="567"/>
      <w:jc w:val="both"/>
    </w:pPr>
    <w:rPr>
      <w:rFonts w:ascii="Antiqua" w:hAnsi="Antiqua"/>
      <w:sz w:val="26"/>
      <w:szCs w:val="20"/>
    </w:rPr>
  </w:style>
  <w:style w:type="character" w:customStyle="1" w:styleId="rvts0">
    <w:name w:val="rvts0"/>
    <w:rsid w:val="00ED64DE"/>
  </w:style>
  <w:style w:type="paragraph" w:customStyle="1" w:styleId="rvps7">
    <w:name w:val="rvps7"/>
    <w:basedOn w:val="a"/>
    <w:rsid w:val="00ED64DE"/>
    <w:pPr>
      <w:spacing w:before="100" w:beforeAutospacing="1" w:after="100" w:afterAutospacing="1"/>
    </w:pPr>
  </w:style>
  <w:style w:type="paragraph" w:styleId="HTML">
    <w:name w:val="HTML Preformatted"/>
    <w:basedOn w:val="a"/>
    <w:link w:val="HTML0"/>
    <w:uiPriority w:val="99"/>
    <w:unhideWhenUsed/>
    <w:rsid w:val="00ED6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D64DE"/>
    <w:rPr>
      <w:rFonts w:ascii="Courier New" w:eastAsia="Times New Roman" w:hAnsi="Courier New" w:cs="Courier New"/>
      <w:sz w:val="20"/>
      <w:szCs w:val="20"/>
      <w:lang w:eastAsia="ru-RU"/>
    </w:rPr>
  </w:style>
  <w:style w:type="paragraph" w:styleId="a4">
    <w:name w:val="List Paragraph"/>
    <w:basedOn w:val="a"/>
    <w:uiPriority w:val="34"/>
    <w:qFormat/>
    <w:rsid w:val="00C11520"/>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a5">
    <w:name w:val="a"/>
    <w:basedOn w:val="a"/>
    <w:rsid w:val="00C11520"/>
    <w:pPr>
      <w:spacing w:before="100" w:beforeAutospacing="1" w:after="100" w:afterAutospacing="1"/>
    </w:pPr>
    <w:rPr>
      <w:lang w:val="ru-RU"/>
    </w:rPr>
  </w:style>
  <w:style w:type="character" w:customStyle="1" w:styleId="rvts15">
    <w:name w:val="rvts15"/>
    <w:basedOn w:val="a0"/>
    <w:rsid w:val="00C11520"/>
  </w:style>
  <w:style w:type="paragraph" w:styleId="a6">
    <w:name w:val="header"/>
    <w:basedOn w:val="a"/>
    <w:link w:val="a7"/>
    <w:uiPriority w:val="99"/>
    <w:unhideWhenUsed/>
    <w:rsid w:val="00701741"/>
    <w:pPr>
      <w:tabs>
        <w:tab w:val="center" w:pos="4819"/>
        <w:tab w:val="right" w:pos="9639"/>
      </w:tabs>
    </w:pPr>
  </w:style>
  <w:style w:type="character" w:customStyle="1" w:styleId="a7">
    <w:name w:val="Верхний колонтитул Знак"/>
    <w:basedOn w:val="a0"/>
    <w:link w:val="a6"/>
    <w:uiPriority w:val="99"/>
    <w:rsid w:val="00701741"/>
    <w:rPr>
      <w:rFonts w:ascii="Times New Roman" w:eastAsia="Times New Roman" w:hAnsi="Times New Roman" w:cs="Times New Roman"/>
      <w:lang w:eastAsia="ru-RU"/>
    </w:rPr>
  </w:style>
  <w:style w:type="paragraph" w:styleId="a8">
    <w:name w:val="footer"/>
    <w:basedOn w:val="a"/>
    <w:link w:val="a9"/>
    <w:uiPriority w:val="99"/>
    <w:unhideWhenUsed/>
    <w:rsid w:val="00701741"/>
    <w:pPr>
      <w:tabs>
        <w:tab w:val="center" w:pos="4819"/>
        <w:tab w:val="right" w:pos="9639"/>
      </w:tabs>
    </w:pPr>
  </w:style>
  <w:style w:type="character" w:customStyle="1" w:styleId="a9">
    <w:name w:val="Нижний колонтитул Знак"/>
    <w:basedOn w:val="a0"/>
    <w:link w:val="a8"/>
    <w:uiPriority w:val="99"/>
    <w:rsid w:val="00701741"/>
    <w:rPr>
      <w:rFonts w:ascii="Times New Roman" w:eastAsia="Times New Roman" w:hAnsi="Times New Roman" w:cs="Times New Roman"/>
      <w:lang w:eastAsia="ru-RU"/>
    </w:rPr>
  </w:style>
  <w:style w:type="paragraph" w:styleId="aa">
    <w:name w:val="Balloon Text"/>
    <w:basedOn w:val="a"/>
    <w:link w:val="ab"/>
    <w:uiPriority w:val="99"/>
    <w:semiHidden/>
    <w:unhideWhenUsed/>
    <w:rsid w:val="00701741"/>
    <w:rPr>
      <w:rFonts w:ascii="Segoe UI" w:hAnsi="Segoe UI" w:cs="Segoe UI"/>
      <w:sz w:val="18"/>
      <w:szCs w:val="18"/>
    </w:rPr>
  </w:style>
  <w:style w:type="character" w:customStyle="1" w:styleId="ab">
    <w:name w:val="Текст выноски Знак"/>
    <w:basedOn w:val="a0"/>
    <w:link w:val="aa"/>
    <w:uiPriority w:val="99"/>
    <w:semiHidden/>
    <w:rsid w:val="00701741"/>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31270723">
      <w:bodyDiv w:val="1"/>
      <w:marLeft w:val="0"/>
      <w:marRight w:val="0"/>
      <w:marTop w:val="0"/>
      <w:marBottom w:val="0"/>
      <w:divBdr>
        <w:top w:val="none" w:sz="0" w:space="0" w:color="auto"/>
        <w:left w:val="none" w:sz="0" w:space="0" w:color="auto"/>
        <w:bottom w:val="none" w:sz="0" w:space="0" w:color="auto"/>
        <w:right w:val="none" w:sz="0" w:space="0" w:color="auto"/>
      </w:divBdr>
      <w:divsChild>
        <w:div w:id="465389983">
          <w:marLeft w:val="0"/>
          <w:marRight w:val="0"/>
          <w:marTop w:val="0"/>
          <w:marBottom w:val="0"/>
          <w:divBdr>
            <w:top w:val="none" w:sz="0" w:space="0" w:color="auto"/>
            <w:left w:val="none" w:sz="0" w:space="0" w:color="auto"/>
            <w:bottom w:val="none" w:sz="0" w:space="0" w:color="auto"/>
            <w:right w:val="none" w:sz="0" w:space="0" w:color="auto"/>
          </w:divBdr>
        </w:div>
      </w:divsChild>
    </w:div>
    <w:div w:id="484006561">
      <w:bodyDiv w:val="1"/>
      <w:marLeft w:val="0"/>
      <w:marRight w:val="0"/>
      <w:marTop w:val="0"/>
      <w:marBottom w:val="0"/>
      <w:divBdr>
        <w:top w:val="none" w:sz="0" w:space="0" w:color="auto"/>
        <w:left w:val="none" w:sz="0" w:space="0" w:color="auto"/>
        <w:bottom w:val="none" w:sz="0" w:space="0" w:color="auto"/>
        <w:right w:val="none" w:sz="0" w:space="0" w:color="auto"/>
      </w:divBdr>
    </w:div>
    <w:div w:id="208695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6F050-E2CA-40E0-841C-B14BF58B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1998</Words>
  <Characters>11395</Characters>
  <Application>Microsoft Office Word</Application>
  <DocSecurity>0</DocSecurity>
  <Lines>94</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19</cp:revision>
  <cp:lastPrinted>2020-07-17T08:53:00Z</cp:lastPrinted>
  <dcterms:created xsi:type="dcterms:W3CDTF">2020-07-15T15:26:00Z</dcterms:created>
  <dcterms:modified xsi:type="dcterms:W3CDTF">2020-07-17T09:19:00Z</dcterms:modified>
</cp:coreProperties>
</file>