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F3AE9" w:rsidP="007F3AE9">
      <w:pPr>
        <w:widowControl w:val="0"/>
        <w:autoSpaceDE w:val="0"/>
        <w:autoSpaceDN w:val="0"/>
        <w:bidi w:val="0"/>
        <w:adjustRightInd w:val="0"/>
        <w:ind w:right="2"/>
        <w:jc w:val="center"/>
        <w:rPr>
          <w:rFonts w:ascii="Times" w:hAnsi="Times" w:cs="Times" w:hint="default"/>
          <w:b/>
          <w:bCs/>
          <w:sz w:val="28"/>
          <w:szCs w:val="28"/>
        </w:rPr>
      </w:pPr>
      <w:r>
        <w:rPr>
          <w:rFonts w:ascii="Times" w:hAnsi="Times" w:cs="Times" w:hint="default"/>
          <w:b/>
          <w:bCs/>
          <w:sz w:val="28"/>
          <w:szCs w:val="28"/>
        </w:rPr>
        <w:t>ПОРІВНЯЛЬНА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ТАБЛИЦЯ</w:t>
      </w:r>
    </w:p>
    <w:p w:rsidR="007F3AE9" w:rsidP="007F3AE9">
      <w:pPr>
        <w:widowControl w:val="0"/>
        <w:autoSpaceDE w:val="0"/>
        <w:autoSpaceDN w:val="0"/>
        <w:bidi w:val="0"/>
        <w:adjustRightInd w:val="0"/>
        <w:ind w:right="2"/>
        <w:jc w:val="center"/>
        <w:rPr>
          <w:rFonts w:ascii="Times" w:hAnsi="Times" w:cs="Times" w:hint="default"/>
          <w:b/>
          <w:bCs/>
          <w:sz w:val="28"/>
          <w:szCs w:val="28"/>
        </w:rPr>
      </w:pPr>
      <w:r>
        <w:rPr>
          <w:rFonts w:ascii="Times" w:hAnsi="Times" w:cs="Times" w:hint="default"/>
          <w:b/>
          <w:bCs/>
          <w:sz w:val="28"/>
          <w:szCs w:val="28"/>
        </w:rPr>
        <w:t>до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проєкту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Закону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України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"Про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внесення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змін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до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Податкового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кодексу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України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щодо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державного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регулювання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діяльності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у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сфері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азартних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ігор</w:t>
      </w:r>
      <w:r>
        <w:rPr>
          <w:rFonts w:ascii="Times" w:hAnsi="Times" w:cs="Times" w:hint="default"/>
          <w:b/>
          <w:bCs/>
          <w:sz w:val="28"/>
          <w:szCs w:val="28"/>
        </w:rPr>
        <w:t>"</w:t>
      </w:r>
    </w:p>
    <w:p w:rsidR="007F3AE9" w:rsidP="007F3AE9">
      <w:pPr>
        <w:widowControl w:val="0"/>
        <w:autoSpaceDE w:val="0"/>
        <w:autoSpaceDN w:val="0"/>
        <w:bidi w:val="0"/>
        <w:adjustRightInd w:val="0"/>
        <w:ind w:right="2"/>
        <w:jc w:val="center"/>
        <w:rPr>
          <w:rFonts w:ascii="Times" w:hAnsi="Times" w:cs="Times"/>
          <w:b/>
          <w:bCs/>
          <w:sz w:val="28"/>
          <w:szCs w:val="28"/>
        </w:rPr>
      </w:pPr>
    </w:p>
    <w:tbl>
      <w:tblPr>
        <w:tblStyle w:val="TableNormal"/>
        <w:tblW w:w="14884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CellMar>
          <w:top w:w="0" w:type="dxa"/>
          <w:bottom w:w="0" w:type="dxa"/>
        </w:tblCellMar>
      </w:tblPr>
      <w:tblGrid>
        <w:gridCol w:w="7442"/>
        <w:gridCol w:w="7442"/>
      </w:tblGrid>
      <w:tr>
        <w:tblPrEx>
          <w:tblW w:w="14884" w:type="dxa"/>
          <w:tblBorders>
            <w:top w:val="single" w:sz="4" w:space="0" w:color="BFBFBF"/>
            <w:left w:val="single" w:sz="4" w:space="0" w:color="BFBFBF"/>
            <w:right w:val="single" w:sz="4" w:space="0" w:color="BFBFBF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center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Зміст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положення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(норми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 w:firstLine="567"/>
              <w:jc w:val="center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чинного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акта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законодавства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center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Зміст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відповідного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положення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(норми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 w:firstLine="567"/>
              <w:jc w:val="center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проєкту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акта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Визначення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понять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14. </w:t>
            </w:r>
            <w:r>
              <w:rPr>
                <w:rFonts w:ascii="Times" w:hAnsi="Times" w:cs="Times" w:hint="default"/>
                <w:sz w:val="28"/>
                <w:szCs w:val="28"/>
              </w:rPr>
              <w:t>Визначення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понять</w:t>
            </w:r>
            <w:r>
              <w:rPr>
                <w:rFonts w:ascii="Times" w:hAnsi="Times" w:cs="Times"/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14.1.11. безнадійна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заборгованість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заборгованість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відповідає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од</w:t>
            </w:r>
            <w:r>
              <w:rPr>
                <w:rFonts w:ascii="Times" w:hAnsi="Times" w:cs="Times" w:hint="default"/>
                <w:sz w:val="28"/>
                <w:szCs w:val="28"/>
              </w:rPr>
              <w:t>ній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ознак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: 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…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е</w:t>
            </w:r>
            <w:r>
              <w:rPr>
                <w:rFonts w:ascii="Times" w:hAnsi="Times" w:cs="Times" w:hint="default"/>
                <w:sz w:val="28"/>
                <w:szCs w:val="28"/>
              </w:rPr>
              <w:t>) сума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залишкового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станом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кожного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року.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 w:firstLine="720"/>
              <w:jc w:val="both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14.1.11. безнадійна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заборгованість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заборгованість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відповідає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одній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ознак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: 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…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е</w:t>
            </w:r>
            <w:r>
              <w:rPr>
                <w:rFonts w:ascii="Times" w:hAnsi="Times" w:cs="Times" w:hint="default"/>
                <w:sz w:val="28"/>
                <w:szCs w:val="28"/>
              </w:rPr>
              <w:t>) сума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залишкового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станом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кожного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року.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Залишковий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призовий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фонд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–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це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частина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фонду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становить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різницю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між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нарахованим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виплаченим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призовим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фондом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Формування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залишкового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фонду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- яка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проводиться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тиражами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здійснюється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кожного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щодо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всього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залишку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невиплаченого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фонду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моменту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якого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сплинуло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1095 днів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- яка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проводиться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тиражами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здійснюється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станом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якому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сплинуло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1095 днів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закінчення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(припин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відповідної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Відсутній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14.1.167</w:t>
            </w:r>
            <w:r>
              <w:rPr>
                <w:rFonts w:ascii="Times" w:hAnsi="Times" w:cs="Times"/>
                <w:sz w:val="28"/>
                <w:szCs w:val="28"/>
                <w:vertAlign w:val="superscript"/>
              </w:rPr>
              <w:t>1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. організація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значенні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наведеному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Законі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України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"Про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державне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регулювання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сфері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";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14.1.271.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операцій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складається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доходу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залишився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після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формування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(виграшного</w:t>
            </w:r>
            <w:r>
              <w:rPr>
                <w:rFonts w:ascii="Times" w:hAnsi="Times" w:cs="Times" w:hint="default"/>
                <w:sz w:val="28"/>
                <w:szCs w:val="28"/>
              </w:rPr>
              <w:t>)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безнадійної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заборгованості</w:t>
            </w:r>
            <w:r>
              <w:rPr>
                <w:rFonts w:ascii="Times" w:hAnsi="Times" w:cs="Times" w:hint="default"/>
                <w:sz w:val="28"/>
                <w:szCs w:val="28"/>
              </w:rPr>
              <w:t>, визначеної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підпунктом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"е</w:t>
            </w:r>
            <w:r>
              <w:rPr>
                <w:rFonts w:ascii="Times" w:hAnsi="Times" w:cs="Times" w:hint="default"/>
                <w:sz w:val="28"/>
                <w:szCs w:val="28"/>
              </w:rPr>
              <w:t>" підпункту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14.1.11 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пункту.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залишився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після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формування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(виграшного</w:t>
            </w:r>
            <w:r>
              <w:rPr>
                <w:rFonts w:ascii="Times" w:hAnsi="Times" w:cs="Times" w:hint="default"/>
                <w:sz w:val="28"/>
                <w:szCs w:val="28"/>
              </w:rPr>
              <w:t>)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>, - частина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коштів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становить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різницю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між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прийняття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ставок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лотерею</w:t>
            </w:r>
            <w:r>
              <w:rPr>
                <w:rFonts w:ascii="Times" w:hAnsi="Times" w:cs="Times" w:hint="default"/>
                <w:sz w:val="28"/>
                <w:szCs w:val="28"/>
              </w:rPr>
              <w:t>,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сформованого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(виграш</w:t>
            </w:r>
            <w:r>
              <w:rPr>
                <w:rFonts w:ascii="Times" w:hAnsi="Times" w:cs="Times" w:hint="default"/>
                <w:sz w:val="28"/>
                <w:szCs w:val="28"/>
              </w:rPr>
              <w:t>ного</w:t>
            </w:r>
            <w:r>
              <w:rPr>
                <w:rFonts w:ascii="Times" w:hAnsi="Times" w:cs="Times" w:hint="default"/>
                <w:sz w:val="28"/>
                <w:szCs w:val="28"/>
              </w:rPr>
              <w:t>)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лотереї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відповідно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умов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її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проведення.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цілей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прийняття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лотерею</w:t>
            </w:r>
            <w:r>
              <w:rPr>
                <w:rFonts w:ascii="Times" w:hAnsi="Times" w:cs="Times" w:hint="default"/>
                <w:sz w:val="28"/>
                <w:szCs w:val="28"/>
              </w:rPr>
              <w:t>, розуміється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грошових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коштів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готівковій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>/або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безготівковій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формі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касу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>/або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раху</w:t>
            </w:r>
            <w:r>
              <w:rPr>
                <w:rFonts w:ascii="Times" w:hAnsi="Times" w:cs="Times" w:hint="default"/>
                <w:sz w:val="28"/>
                <w:szCs w:val="28"/>
              </w:rPr>
              <w:t>нки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оператора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/>
                <w:sz w:val="28"/>
                <w:szCs w:val="28"/>
              </w:rPr>
              <w:t>;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14.1.271.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від</w:t>
            </w:r>
            <w:r>
              <w:rPr>
                <w:rFonts w:ascii="Times" w:hAnsi="Times" w:cs="Times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складається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доходу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залишився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після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формування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(виграшного</w:t>
            </w:r>
            <w:r>
              <w:rPr>
                <w:rFonts w:ascii="Times" w:hAnsi="Times" w:cs="Times" w:hint="default"/>
                <w:sz w:val="28"/>
                <w:szCs w:val="28"/>
              </w:rPr>
              <w:t>)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безнадійної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заборгованості</w:t>
            </w:r>
            <w:r>
              <w:rPr>
                <w:rFonts w:ascii="Times" w:hAnsi="Times" w:cs="Times" w:hint="default"/>
                <w:sz w:val="28"/>
                <w:szCs w:val="28"/>
              </w:rPr>
              <w:t>, визначеної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підпунктом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"е</w:t>
            </w:r>
            <w:r>
              <w:rPr>
                <w:rFonts w:ascii="Times" w:hAnsi="Times" w:cs="Times" w:hint="default"/>
                <w:sz w:val="28"/>
                <w:szCs w:val="28"/>
              </w:rPr>
              <w:t>" підпункту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14.1.11 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пункту</w:t>
            </w:r>
            <w:r>
              <w:rPr>
                <w:rFonts w:ascii="Times" w:hAnsi="Times" w:cs="Times"/>
                <w:sz w:val="28"/>
                <w:szCs w:val="28"/>
              </w:rPr>
              <w:t>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від</w:t>
            </w:r>
            <w:r>
              <w:rPr>
                <w:rFonts w:ascii="Times" w:hAnsi="Times" w:cs="Times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залишився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після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формування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(виграшного</w:t>
            </w:r>
            <w:r>
              <w:rPr>
                <w:rFonts w:ascii="Times" w:hAnsi="Times" w:cs="Times" w:hint="default"/>
                <w:sz w:val="28"/>
                <w:szCs w:val="28"/>
              </w:rPr>
              <w:t>)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>, - частина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коштів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становить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різницю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між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прийняття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ставок</w:t>
            </w:r>
            <w:r>
              <w:rPr>
                <w:rFonts w:ascii="Times" w:hAnsi="Times" w:cs="Times" w:hint="default"/>
                <w:sz w:val="28"/>
                <w:szCs w:val="28"/>
              </w:rPr>
              <w:t>,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сформованого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(виграшног</w:t>
            </w:r>
            <w:r>
              <w:rPr>
                <w:rFonts w:ascii="Times" w:hAnsi="Times" w:cs="Times" w:hint="default"/>
                <w:sz w:val="28"/>
                <w:szCs w:val="28"/>
              </w:rPr>
              <w:t>о</w:t>
            </w:r>
            <w:r>
              <w:rPr>
                <w:rFonts w:ascii="Times" w:hAnsi="Times" w:cs="Times" w:hint="default"/>
                <w:sz w:val="28"/>
                <w:szCs w:val="28"/>
              </w:rPr>
              <w:t>) фонду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азартної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ігри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відповідно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умов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її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проведення.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цілей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sz w:val="28"/>
                <w:szCs w:val="28"/>
              </w:rPr>
              <w:t>, розуміється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грошових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коштів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готівковій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>/або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безготівковій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формі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ка</w:t>
            </w:r>
            <w:r>
              <w:rPr>
                <w:rFonts w:ascii="Times" w:hAnsi="Times" w:cs="Times" w:hint="default"/>
                <w:sz w:val="28"/>
                <w:szCs w:val="28"/>
              </w:rPr>
              <w:t>су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>/або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рахунки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такого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'єкта</w:t>
            </w:r>
            <w:r>
              <w:rPr>
                <w:rFonts w:ascii="Times" w:hAnsi="Times" w:cs="Times"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контролюючих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органів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контролюючих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органів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20.1. Контролюючі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право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20.1.40.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звертатися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щодо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застосування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санкцій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пов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'язаних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забороною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території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України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20.1. Контролюючі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право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20.1.40.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</w:t>
            </w:r>
            <w:r>
              <w:rPr>
                <w:rFonts w:ascii="Times" w:hAnsi="Times" w:cs="Times"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148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center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РОЗДІЛ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III. ПОДАТОК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ПІДПРИЄМСТВ</w:t>
            </w:r>
          </w:p>
        </w:tc>
        <w:tc>
          <w:tcPr>
            <w:tcW w:w="148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134.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134.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134.1.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134.1.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134.1.4.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випуск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,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підлягає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оподаткуванню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згідно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141.8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141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134.1.4.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зменшений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здійсненних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виплат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учасникам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134.1.5.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операторів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отриманий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букмекерської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sz w:val="28"/>
                <w:szCs w:val="28"/>
              </w:rPr>
              <w:t>, азартних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тому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числі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казино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),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крім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отриманого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використанням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гральних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автоматів,</w:t>
            </w:r>
            <w:r>
              <w:rPr>
                <w:rFonts w:ascii="Times" w:hAnsi="Times" w:cs="Times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зменшеного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виплачених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виплат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авцю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підлягає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оподаткуванню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згідно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141.5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141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134.1.5.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136. Ставки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136. Ставки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136.4. Під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провадження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букмекерської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числі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казино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одночасно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ставкою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sz w:val="28"/>
                <w:szCs w:val="28"/>
              </w:rPr>
              <w:t>, визначеною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пункті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/>
                <w:b/>
                <w:bCs/>
                <w:sz w:val="28"/>
                <w:szCs w:val="28"/>
              </w:rPr>
              <w:t>136.1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цієї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статті</w:t>
            </w:r>
            <w:r>
              <w:rPr>
                <w:rFonts w:ascii="Times" w:hAnsi="Times" w:cs="Times" w:hint="default"/>
                <w:sz w:val="28"/>
                <w:szCs w:val="28"/>
              </w:rPr>
              <w:t>, ставка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встановлюється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розмірі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136.4.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>136.4.1.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10 відсотків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отриманого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використанням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гральних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автоматів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136.4.1.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ити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>136.4.2.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18 відсотків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отриманого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букмекерської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числі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казино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), крім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отриманого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використанням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гральних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автоматів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зменшеного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виплачених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виплат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гравцю.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136.4.2.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136.6. Під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провадження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встановлюється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ставка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підпунктом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134.1.4 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134.1 статті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 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sz w:val="28"/>
                <w:szCs w:val="28"/>
              </w:rPr>
              <w:t>,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розмірі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/>
                <w:b/>
                <w:bCs/>
                <w:sz w:val="28"/>
                <w:szCs w:val="28"/>
              </w:rPr>
              <w:t>30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відсотків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урахуванням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оложень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47 підрозділу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4 розділу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XX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136.6. Під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провадження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встановлюється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ставка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,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визначений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підпунктом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134.1.4 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134.1 статті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134 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sz w:val="28"/>
                <w:szCs w:val="28"/>
              </w:rPr>
              <w:t>,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розмірі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/>
                <w:b/>
                <w:bCs/>
                <w:sz w:val="28"/>
                <w:szCs w:val="28"/>
              </w:rPr>
              <w:t>20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відсотків.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before="100" w:after="100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137. </w:t>
            </w:r>
            <w:r>
              <w:rPr>
                <w:rFonts w:ascii="Times" w:hAnsi="Times" w:cs="Times" w:hint="default"/>
                <w:sz w:val="28"/>
                <w:szCs w:val="28"/>
              </w:rPr>
              <w:t>Порядок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обчислення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before="100" w:after="100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137.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Порядок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обчислення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137.8. Платники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>: суб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'єкти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випуск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sz w:val="28"/>
                <w:szCs w:val="28"/>
              </w:rPr>
              <w:t>, щокв</w:t>
            </w:r>
            <w:r>
              <w:rPr>
                <w:rFonts w:ascii="Times" w:hAnsi="Times" w:cs="Times" w:hint="default"/>
                <w:sz w:val="28"/>
                <w:szCs w:val="28"/>
              </w:rPr>
              <w:t>артально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сплачують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порядку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строки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встановлені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квартального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(звітного</w:t>
            </w:r>
            <w:r>
              <w:rPr>
                <w:rFonts w:ascii="Times" w:hAnsi="Times" w:cs="Times" w:hint="default"/>
                <w:sz w:val="28"/>
                <w:szCs w:val="28"/>
              </w:rPr>
              <w:t>) періоду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поданням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податкової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декларації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137.8. Платники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>: суб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'єкти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організацію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sz w:val="28"/>
                <w:szCs w:val="28"/>
              </w:rPr>
              <w:t>, щоквартально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сплачують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порядку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строки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встановлені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квартального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податкового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(звітного</w:t>
            </w:r>
            <w:r>
              <w:rPr>
                <w:rFonts w:ascii="Times" w:hAnsi="Times" w:cs="Times" w:hint="default"/>
                <w:sz w:val="28"/>
                <w:szCs w:val="28"/>
              </w:rPr>
              <w:t>) періоду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поданням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податкової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декларації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141. Особливості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окремих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видів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операцій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141. Особливості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окремих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видів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операцій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>141.5.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Особливості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букмекерської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числі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казино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>141.5.1.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букмекерську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діяльність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аза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числі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казино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одночасно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136.1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сплачують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ставками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визначеними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підпунктах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136.4.1, 136.4.2 пункту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136.4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Нарах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ований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букмекерську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діяльність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організацію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числі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казино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), податок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ставками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визначеними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підпунктах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136.4.1, 136.4.2 пункту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136.4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різницею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зменшу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фінансовий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результат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такого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'єкта.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141.5.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141.5.1.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>141.8.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Особливості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Дохід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опер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ацій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підлягає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оподаткуванню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136.6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Прибуток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іншої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діяльності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'язана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оведенням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нараховується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сплачується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правилами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розділу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базовою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(основною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ставкою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Нарахований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'єктами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податок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136.6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дексу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різницею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зменшує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фінансовий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результат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такого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'єкта.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141.8.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148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center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РОЗДІЛ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IV. ПОДАТОК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ФІЗИЧНИХ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ОСІБ</w:t>
            </w:r>
          </w:p>
        </w:tc>
        <w:tc>
          <w:tcPr>
            <w:tcW w:w="148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167. </w:t>
            </w:r>
            <w:r>
              <w:rPr>
                <w:rFonts w:ascii="Times" w:hAnsi="Times" w:cs="Times" w:hint="default"/>
                <w:sz w:val="28"/>
                <w:szCs w:val="28"/>
              </w:rPr>
              <w:t>Ставки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167. </w:t>
            </w:r>
            <w:r>
              <w:rPr>
                <w:rFonts w:ascii="Times" w:hAnsi="Times" w:cs="Times" w:hint="default"/>
                <w:sz w:val="28"/>
                <w:szCs w:val="28"/>
              </w:rPr>
              <w:t>Ставки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167.5. Ставки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пасивні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баз</w:t>
            </w:r>
            <w:r>
              <w:rPr>
                <w:rFonts w:ascii="Times" w:hAnsi="Times" w:cs="Times" w:hint="default"/>
                <w:sz w:val="28"/>
                <w:szCs w:val="28"/>
              </w:rPr>
              <w:t>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встановлюються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розмірах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167.5.1. 18 відсотків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пасивних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sz w:val="28"/>
                <w:szCs w:val="28"/>
              </w:rPr>
              <w:t>, 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зазначених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 </w:t>
            </w:r>
            <w:hyperlink r:id="rId4" w:history="1">
              <w:r>
                <w:rPr>
                  <w:rFonts w:ascii="Times" w:hAnsi="Times" w:cs="Times" w:hint="default"/>
                  <w:sz w:val="28"/>
                  <w:szCs w:val="28"/>
                  <w:u w:val="single"/>
                </w:rPr>
                <w:t>підпунктах</w:t>
              </w:r>
              <w:r>
                <w:rPr>
                  <w:rFonts w:ascii="Times" w:hAnsi="Times" w:cs="Times" w:hint="default"/>
                  <w:sz w:val="28"/>
                  <w:szCs w:val="28"/>
                  <w:u w:val="single"/>
                </w:rPr>
                <w:t xml:space="preserve"> 167.5.2</w:t>
              </w:r>
            </w:hyperlink>
            <w:r>
              <w:rPr>
                <w:rFonts w:ascii="Times" w:hAnsi="Times" w:cs="Times"/>
                <w:sz w:val="28"/>
                <w:szCs w:val="28"/>
              </w:rPr>
              <w:t> 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та</w:t>
            </w:r>
            <w:r>
              <w:rPr>
                <w:rFonts w:ascii="Times" w:hAnsi="Times" w:cs="Times"/>
                <w:sz w:val="28"/>
                <w:szCs w:val="28"/>
              </w:rPr>
              <w:t> </w:t>
            </w:r>
            <w:hyperlink r:id="rId5" w:history="1">
              <w:r>
                <w:rPr>
                  <w:rFonts w:ascii="Times" w:hAnsi="Times" w:cs="Times"/>
                  <w:sz w:val="28"/>
                  <w:szCs w:val="28"/>
                  <w:u w:val="single"/>
                </w:rPr>
                <w:t>167.5.4</w:t>
              </w:r>
            </w:hyperlink>
            <w:r>
              <w:rPr>
                <w:rFonts w:ascii="Times" w:hAnsi="Times" w:cs="Times"/>
                <w:sz w:val="28"/>
                <w:szCs w:val="28"/>
              </w:rPr>
              <w:t> </w:t>
            </w:r>
            <w:r>
              <w:rPr>
                <w:rFonts w:ascii="Times" w:hAnsi="Times" w:cs="Times" w:hint="default"/>
                <w:sz w:val="28"/>
                <w:szCs w:val="28"/>
              </w:rPr>
              <w:t>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>;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167.5. Ставки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пасивні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бази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встановлюються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розмірах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167.5.1. 18 відсотків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пасивних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sz w:val="28"/>
                <w:szCs w:val="28"/>
              </w:rPr>
              <w:t>, 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зазначених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 </w:t>
            </w:r>
            <w:hyperlink r:id="rId4" w:history="1">
              <w:r>
                <w:rPr>
                  <w:rFonts w:ascii="Times" w:hAnsi="Times" w:cs="Times" w:hint="default"/>
                  <w:sz w:val="28"/>
                  <w:szCs w:val="28"/>
                  <w:u w:val="single"/>
                </w:rPr>
                <w:t>підп</w:t>
              </w:r>
              <w:r>
                <w:rPr>
                  <w:rFonts w:ascii="Times" w:hAnsi="Times" w:cs="Times" w:hint="default"/>
                  <w:sz w:val="28"/>
                  <w:szCs w:val="28"/>
                  <w:u w:val="single"/>
                </w:rPr>
                <w:t>унктах</w:t>
              </w:r>
              <w:r>
                <w:rPr>
                  <w:rFonts w:ascii="Times" w:hAnsi="Times" w:cs="Times" w:hint="default"/>
                  <w:sz w:val="28"/>
                  <w:szCs w:val="28"/>
                  <w:u w:val="single"/>
                </w:rPr>
                <w:t xml:space="preserve"> 167.5.2</w:t>
              </w:r>
            </w:hyperlink>
            <w:r>
              <w:rPr>
                <w:rFonts w:ascii="Times" w:hAnsi="Times" w:cs="Times" w:hint="default"/>
                <w:sz w:val="28"/>
                <w:szCs w:val="28"/>
              </w:rPr>
              <w:t>, 167.5.4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hyperlink r:id="rId5" w:history="1">
              <w:r>
                <w:rPr>
                  <w:rFonts w:ascii="Times" w:hAnsi="Times" w:cs="Times"/>
                  <w:sz w:val="28"/>
                  <w:szCs w:val="28"/>
                  <w:u w:val="single"/>
                </w:rPr>
                <w:t>167.5.5</w:t>
              </w:r>
            </w:hyperlink>
            <w:r>
              <w:rPr>
                <w:rFonts w:ascii="Times" w:hAnsi="Times" w:cs="Times" w:hint="default"/>
                <w:sz w:val="28"/>
                <w:szCs w:val="28"/>
              </w:rPr>
              <w:t xml:space="preserve"> цього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пункту</w:t>
            </w:r>
            <w:r>
              <w:rPr>
                <w:rFonts w:ascii="Times" w:hAnsi="Times" w:cs="Times" w:hint="default"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167.5.5. Відсутній.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167.5.5. 0 відсотків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–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вигляді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призів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отриманих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результаті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участі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іграх.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170</w:t>
            </w:r>
            <w:r>
              <w:rPr>
                <w:rFonts w:ascii="Times" w:hAnsi="Times" w:cs="Times" w:hint="default"/>
                <w:sz w:val="28"/>
                <w:szCs w:val="28"/>
              </w:rPr>
              <w:t>. Особливості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нарахування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(виплати</w:t>
            </w:r>
            <w:r>
              <w:rPr>
                <w:rFonts w:ascii="Times" w:hAnsi="Times" w:cs="Times" w:hint="default"/>
                <w:sz w:val="28"/>
                <w:szCs w:val="28"/>
              </w:rPr>
              <w:t>)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окремих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видів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170</w:t>
            </w:r>
            <w:r>
              <w:rPr>
                <w:rFonts w:ascii="Times" w:hAnsi="Times" w:cs="Times" w:hint="default"/>
                <w:sz w:val="28"/>
                <w:szCs w:val="28"/>
              </w:rPr>
              <w:t>. Особливості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нарах</w:t>
            </w:r>
            <w:r>
              <w:rPr>
                <w:rFonts w:ascii="Times" w:hAnsi="Times" w:cs="Times" w:hint="default"/>
                <w:sz w:val="28"/>
                <w:szCs w:val="28"/>
              </w:rPr>
              <w:t>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(виплати</w:t>
            </w:r>
            <w:r>
              <w:rPr>
                <w:rFonts w:ascii="Times" w:hAnsi="Times" w:cs="Times" w:hint="default"/>
                <w:sz w:val="28"/>
                <w:szCs w:val="28"/>
              </w:rPr>
              <w:t>)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окремих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видів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доходів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170.6.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призів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170.6.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призів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170.6.1. Податковим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агентом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платника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(виплати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надання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його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користь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вигляді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(призів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інші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розіграші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букмекерському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тоталізатора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призів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грошовій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формі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одержаних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перемогу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/або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участь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аматорських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спортивних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змаганнях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числі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більярдному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спорті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особа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здійс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н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ює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таке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(виплату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170.6.1.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Доходи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вигляді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(призів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), отриманих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результаті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участі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іграх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оподатковуються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їх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0 відсотків.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170.6.2. Податковим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агентом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оператором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строки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цим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місячного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податкового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періоду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до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бюджету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сплачується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(перераховується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загальна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нарахованого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167.1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167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із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загальної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(призів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), виплачених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податковий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(зв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тний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місяць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гравцям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лотерею.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170.6.2.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Податкові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агенти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оператори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податковому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розрахунку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подання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якого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передбачено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підпунктом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"б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" пункту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176.2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176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відображають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загальну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нарахованих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(виплачених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звітно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податковому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періоді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вигляді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(призів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загальну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утриманого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. При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цьому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податковому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розрахунку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зазначається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інформація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окремого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суми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нарахованого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також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відомості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фізичн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особу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платника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одержала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вигляді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(призу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170.6.3. Оподаткування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вигляді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призів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інших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ніж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(приз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здійснюється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загальному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порядку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встановленому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цим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остато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чно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оподатковуються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їх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абзаці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першому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167.1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167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sz w:val="28"/>
                <w:szCs w:val="28"/>
              </w:rPr>
              <w:t>170.6.3.</w:t>
            </w:r>
            <w:r>
              <w:rPr>
                <w:rFonts w:ascii="Times" w:hAnsi="Times" w:cs="Times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170.6.4. Під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нарахування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(виплати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доходів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вигляді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або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інших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розіграшах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передбача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попереднє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придбання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платником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права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участь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лотереях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розіграшах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не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беруться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уваги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витрати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платника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'язку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отриманням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такого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доходу.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170.6.4. Виключити.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170.6.5. Доходи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зазначені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цьому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остаточно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оподатко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вуються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їх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їх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рахунок.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170.6.5.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148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center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Розділ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V. ПОДАТОК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ДОДАНУ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ВАРТІСТЬ</w:t>
            </w:r>
          </w:p>
        </w:tc>
        <w:tc>
          <w:tcPr>
            <w:tcW w:w="148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rPr>
                <w:rFonts w:ascii="Times" w:hAnsi="Times" w:cs="Times"/>
                <w:b/>
                <w:bCs/>
                <w:sz w:val="28"/>
                <w:szCs w:val="28"/>
              </w:rPr>
            </w:pP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196. </w:t>
            </w:r>
            <w:r>
              <w:rPr>
                <w:rFonts w:ascii="Times" w:hAnsi="Times" w:cs="Times" w:hint="default"/>
                <w:sz w:val="28"/>
                <w:szCs w:val="28"/>
              </w:rPr>
              <w:t>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196. </w:t>
            </w:r>
            <w:r>
              <w:rPr>
                <w:rFonts w:ascii="Times" w:hAnsi="Times" w:cs="Times" w:hint="default"/>
                <w:sz w:val="28"/>
                <w:szCs w:val="28"/>
              </w:rPr>
              <w:t>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196.1.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/>
                <w:sz w:val="28"/>
                <w:szCs w:val="28"/>
              </w:rPr>
              <w:t xml:space="preserve">: 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196.1.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: 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196.1.4. обігу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банківських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металів</w:t>
            </w:r>
            <w:r>
              <w:rPr>
                <w:rFonts w:ascii="Times" w:hAnsi="Times" w:cs="Times" w:hint="default"/>
                <w:sz w:val="28"/>
                <w:szCs w:val="28"/>
              </w:rPr>
              <w:t>, інших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валютних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цінностей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банкнот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монет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використовуються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нумізматичних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цілей</w:t>
            </w:r>
            <w:r>
              <w:rPr>
                <w:rFonts w:ascii="Times" w:hAnsi="Times" w:cs="Times" w:hint="default"/>
                <w:sz w:val="28"/>
                <w:szCs w:val="28"/>
              </w:rPr>
              <w:t>, 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також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іноземних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монет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дорогоцінних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металів</w:t>
            </w:r>
            <w:r>
              <w:rPr>
                <w:rFonts w:ascii="Times" w:hAnsi="Times" w:cs="Times" w:hint="default"/>
                <w:sz w:val="28"/>
                <w:szCs w:val="28"/>
              </w:rPr>
              <w:t>, базою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продажна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вартість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);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випуску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обігу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погашення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білетів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інших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документів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засвідчують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право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участі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лотереях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 придбання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фішок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жетонів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внесення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інший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спосіб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плати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право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участі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азартній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виплата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(передача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 виграшу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госп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одарювання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проводить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ігри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 внесення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метою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укладення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виплата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виграшу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суб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'єктом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господарювання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який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проводить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(букмекерське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тоталізатора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</w:t>
            </w:r>
            <w:r>
              <w:rPr>
                <w:rFonts w:ascii="Times" w:hAnsi="Times" w:cs="Times" w:hint="default"/>
                <w:sz w:val="28"/>
                <w:szCs w:val="28"/>
              </w:rPr>
              <w:t>; виплати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грошових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(призів</w:t>
            </w:r>
            <w:r>
              <w:rPr>
                <w:rFonts w:ascii="Times" w:hAnsi="Times" w:cs="Times" w:hint="default"/>
                <w:sz w:val="28"/>
                <w:szCs w:val="28"/>
              </w:rPr>
              <w:t>)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грошових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винагород</w:t>
            </w:r>
            <w:r>
              <w:rPr>
                <w:rFonts w:ascii="Times" w:hAnsi="Times" w:cs="Times" w:hint="default"/>
                <w:sz w:val="28"/>
                <w:szCs w:val="28"/>
              </w:rPr>
              <w:t>; постачання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нег</w:t>
            </w:r>
            <w:r>
              <w:rPr>
                <w:rFonts w:ascii="Times" w:hAnsi="Times" w:cs="Times" w:hint="default"/>
                <w:sz w:val="28"/>
                <w:szCs w:val="28"/>
              </w:rPr>
              <w:t>ашених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поштових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марок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України</w:t>
            </w:r>
            <w:r>
              <w:rPr>
                <w:rFonts w:ascii="Times" w:hAnsi="Times" w:cs="Times" w:hint="default"/>
                <w:sz w:val="28"/>
                <w:szCs w:val="28"/>
              </w:rPr>
              <w:t>, конвертів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або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листівок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негашеними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поштовими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марками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України</w:t>
            </w:r>
            <w:r>
              <w:rPr>
                <w:rFonts w:ascii="Times" w:hAnsi="Times" w:cs="Times" w:hint="default"/>
                <w:sz w:val="28"/>
                <w:szCs w:val="28"/>
              </w:rPr>
              <w:t>, 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колекційних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марок</w:t>
            </w:r>
            <w:r>
              <w:rPr>
                <w:rFonts w:ascii="Times" w:hAnsi="Times" w:cs="Times" w:hint="default"/>
                <w:sz w:val="28"/>
                <w:szCs w:val="28"/>
              </w:rPr>
              <w:t>, конвертів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чи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листівок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філателістичних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потреб</w:t>
            </w:r>
            <w:r>
              <w:rPr>
                <w:rFonts w:ascii="Times" w:hAnsi="Times" w:cs="Times" w:hint="default"/>
                <w:sz w:val="28"/>
                <w:szCs w:val="28"/>
              </w:rPr>
              <w:t>, базою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продажна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вартість</w:t>
            </w:r>
            <w:r>
              <w:rPr>
                <w:rFonts w:ascii="Times" w:hAnsi="Times" w:cs="Times" w:hint="default"/>
                <w:sz w:val="28"/>
                <w:szCs w:val="28"/>
              </w:rPr>
              <w:t>;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196.1.4. обігу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банківських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металів</w:t>
            </w:r>
            <w:r>
              <w:rPr>
                <w:rFonts w:ascii="Times" w:hAnsi="Times" w:cs="Times" w:hint="default"/>
                <w:sz w:val="28"/>
                <w:szCs w:val="28"/>
              </w:rPr>
              <w:t>, інших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валютних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цінностей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банкнот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монет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використовуються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нумізматичних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цілей</w:t>
            </w:r>
            <w:r>
              <w:rPr>
                <w:rFonts w:ascii="Times" w:hAnsi="Times" w:cs="Times" w:hint="default"/>
                <w:sz w:val="28"/>
                <w:szCs w:val="28"/>
              </w:rPr>
              <w:t>, 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також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іноземних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монет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дорогоцінних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металів</w:t>
            </w:r>
            <w:r>
              <w:rPr>
                <w:rFonts w:ascii="Times" w:hAnsi="Times" w:cs="Times" w:hint="default"/>
                <w:sz w:val="28"/>
                <w:szCs w:val="28"/>
              </w:rPr>
              <w:t>, базою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продажна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вартість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);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sz w:val="28"/>
                <w:szCs w:val="28"/>
              </w:rPr>
              <w:t>; виплати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грошових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виграшів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(приз</w:t>
            </w:r>
            <w:r>
              <w:rPr>
                <w:rFonts w:ascii="Times" w:hAnsi="Times" w:cs="Times" w:hint="default"/>
                <w:sz w:val="28"/>
                <w:szCs w:val="28"/>
              </w:rPr>
              <w:t>ів</w:t>
            </w:r>
            <w:r>
              <w:rPr>
                <w:rFonts w:ascii="Times" w:hAnsi="Times" w:cs="Times" w:hint="default"/>
                <w:sz w:val="28"/>
                <w:szCs w:val="28"/>
              </w:rPr>
              <w:t>)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грошових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винагород</w:t>
            </w:r>
            <w:r>
              <w:rPr>
                <w:rFonts w:ascii="Times" w:hAnsi="Times" w:cs="Times" w:hint="default"/>
                <w:sz w:val="28"/>
                <w:szCs w:val="28"/>
              </w:rPr>
              <w:t>; постачання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негашених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поштових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марок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України</w:t>
            </w:r>
            <w:r>
              <w:rPr>
                <w:rFonts w:ascii="Times" w:hAnsi="Times" w:cs="Times" w:hint="default"/>
                <w:sz w:val="28"/>
                <w:szCs w:val="28"/>
              </w:rPr>
              <w:t>, конвертів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або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листівок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негашеними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поштовими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марками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України</w:t>
            </w:r>
            <w:r>
              <w:rPr>
                <w:rFonts w:ascii="Times" w:hAnsi="Times" w:cs="Times" w:hint="default"/>
                <w:sz w:val="28"/>
                <w:szCs w:val="28"/>
              </w:rPr>
              <w:t>, 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колекційних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марок</w:t>
            </w:r>
            <w:r>
              <w:rPr>
                <w:rFonts w:ascii="Times" w:hAnsi="Times" w:cs="Times" w:hint="default"/>
                <w:sz w:val="28"/>
                <w:szCs w:val="28"/>
              </w:rPr>
              <w:t>, конвертів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чи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листівок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для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філателістичних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потреб</w:t>
            </w:r>
            <w:r>
              <w:rPr>
                <w:rFonts w:ascii="Times" w:hAnsi="Times" w:cs="Times" w:hint="default"/>
                <w:sz w:val="28"/>
                <w:szCs w:val="28"/>
              </w:rPr>
              <w:t>, базою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продажна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вартість</w:t>
            </w:r>
            <w:r>
              <w:rPr>
                <w:rFonts w:ascii="Times" w:hAnsi="Times" w:cs="Times" w:hint="default"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197.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>, звільнені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197.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>, звільнені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197.6. Звільняються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підакцизних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>)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послуг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>послуг,</w:t>
            </w:r>
            <w:r>
              <w:rPr>
                <w:rFonts w:ascii="Times" w:hAnsi="Times" w:cs="Times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>що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надаються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під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час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лоте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>рей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і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розважальних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b/>
                <w:bCs/>
                <w:strike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послуг</w:t>
            </w:r>
            <w:r>
              <w:rPr>
                <w:rFonts w:ascii="Times" w:hAnsi="Times" w:cs="Times"/>
                <w:strike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межах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договорів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комісії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(консигнації</w:t>
            </w:r>
            <w:r>
              <w:rPr>
                <w:rFonts w:ascii="Times" w:hAnsi="Times" w:cs="Times" w:hint="default"/>
                <w:sz w:val="28"/>
                <w:szCs w:val="28"/>
              </w:rPr>
              <w:t>), поруки</w:t>
            </w:r>
            <w:r>
              <w:rPr>
                <w:rFonts w:ascii="Times" w:hAnsi="Times" w:cs="Times" w:hint="default"/>
                <w:sz w:val="28"/>
                <w:szCs w:val="28"/>
              </w:rPr>
              <w:t>, доручення</w:t>
            </w:r>
            <w:r>
              <w:rPr>
                <w:rFonts w:ascii="Times" w:hAnsi="Times" w:cs="Times" w:hint="default"/>
                <w:sz w:val="28"/>
                <w:szCs w:val="28"/>
              </w:rPr>
              <w:t>, довірчого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управління</w:t>
            </w:r>
            <w:r>
              <w:rPr>
                <w:rFonts w:ascii="Times" w:hAnsi="Times" w:cs="Times" w:hint="default"/>
                <w:sz w:val="28"/>
                <w:szCs w:val="28"/>
              </w:rPr>
              <w:t>, інших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цивільно-правових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договорів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уповноважують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платника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здійснювати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</w:t>
            </w:r>
            <w:r>
              <w:rPr>
                <w:rFonts w:ascii="Times" w:hAnsi="Times" w:cs="Times" w:hint="default"/>
                <w:sz w:val="28"/>
                <w:szCs w:val="28"/>
              </w:rPr>
              <w:t>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імені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дорученням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іншої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особи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без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передачі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власності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товари</w:t>
            </w:r>
            <w:r>
              <w:rPr>
                <w:rFonts w:ascii="Times" w:hAnsi="Times" w:cs="Times" w:hint="default"/>
                <w:sz w:val="28"/>
                <w:szCs w:val="28"/>
              </w:rPr>
              <w:t>),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безпосередньо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виготовляються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організаціями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засновані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громадськими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організаціями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інвалідів</w:t>
            </w:r>
            <w:r>
              <w:rPr>
                <w:rFonts w:ascii="Times" w:hAnsi="Times" w:cs="Times" w:hint="default"/>
                <w:sz w:val="28"/>
                <w:szCs w:val="28"/>
              </w:rPr>
              <w:t>, де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кількість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інвалідів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організаціях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основне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місце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роботи</w:t>
            </w:r>
            <w:r>
              <w:rPr>
                <w:rFonts w:ascii="Times" w:hAnsi="Times" w:cs="Times" w:hint="default"/>
                <w:sz w:val="28"/>
                <w:szCs w:val="28"/>
              </w:rPr>
              <w:t>, становить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протягом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попереднього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звітного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періоду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менш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50 відсотків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середньооблікової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кількості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штатних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працівників</w:t>
            </w:r>
            <w:r>
              <w:rPr>
                <w:rFonts w:ascii="Times" w:hAnsi="Times" w:cs="Times" w:hint="default"/>
                <w:sz w:val="28"/>
                <w:szCs w:val="28"/>
              </w:rPr>
              <w:t>,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умови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фонд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праці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інвалідів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становить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протягом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звітного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періоду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менш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25 відсотків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</w:t>
            </w:r>
            <w:r>
              <w:rPr>
                <w:rFonts w:ascii="Times" w:hAnsi="Times" w:cs="Times" w:hint="default"/>
                <w:sz w:val="28"/>
                <w:szCs w:val="28"/>
              </w:rPr>
              <w:t>м</w:t>
            </w:r>
            <w:r>
              <w:rPr>
                <w:rFonts w:ascii="Times" w:hAnsi="Times" w:cs="Times" w:hint="default"/>
                <w:sz w:val="28"/>
                <w:szCs w:val="28"/>
              </w:rPr>
              <w:t>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витрат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праці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належать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складу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витрат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згідно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правилами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. 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197.6. Звільняються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операції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підакцизних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>),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послуг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(крім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послуг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</w:t>
            </w:r>
            <w:r>
              <w:rPr>
                <w:rFonts w:ascii="Times" w:hAnsi="Times" w:cs="Times" w:hint="default"/>
                <w:sz w:val="28"/>
                <w:szCs w:val="28"/>
              </w:rPr>
              <w:t>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>, отриманих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межах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договорів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комісії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(консигнації</w:t>
            </w:r>
            <w:r>
              <w:rPr>
                <w:rFonts w:ascii="Times" w:hAnsi="Times" w:cs="Times" w:hint="default"/>
                <w:sz w:val="28"/>
                <w:szCs w:val="28"/>
              </w:rPr>
              <w:t>), поруки</w:t>
            </w:r>
            <w:r>
              <w:rPr>
                <w:rFonts w:ascii="Times" w:hAnsi="Times" w:cs="Times" w:hint="default"/>
                <w:sz w:val="28"/>
                <w:szCs w:val="28"/>
              </w:rPr>
              <w:t>, доручення</w:t>
            </w:r>
            <w:r>
              <w:rPr>
                <w:rFonts w:ascii="Times" w:hAnsi="Times" w:cs="Times" w:hint="default"/>
                <w:sz w:val="28"/>
                <w:szCs w:val="28"/>
              </w:rPr>
              <w:t>, довірчого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управління</w:t>
            </w:r>
            <w:r>
              <w:rPr>
                <w:rFonts w:ascii="Times" w:hAnsi="Times" w:cs="Times" w:hint="default"/>
                <w:sz w:val="28"/>
                <w:szCs w:val="28"/>
              </w:rPr>
              <w:t>, інших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цивільно-правових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договорів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уповноважують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платника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здійснювати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постачання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від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імені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дорученням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іншої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особи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б</w:t>
            </w:r>
            <w:r>
              <w:rPr>
                <w:rFonts w:ascii="Times" w:hAnsi="Times" w:cs="Times" w:hint="default"/>
                <w:sz w:val="28"/>
                <w:szCs w:val="28"/>
              </w:rPr>
              <w:t>ез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передачі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власності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товари</w:t>
            </w:r>
            <w:r>
              <w:rPr>
                <w:rFonts w:ascii="Times" w:hAnsi="Times" w:cs="Times" w:hint="default"/>
                <w:sz w:val="28"/>
                <w:szCs w:val="28"/>
              </w:rPr>
              <w:t>),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безпосередньо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виготовляються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організаціями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засновані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громадськими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організаціями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інвалідів</w:t>
            </w:r>
            <w:r>
              <w:rPr>
                <w:rFonts w:ascii="Times" w:hAnsi="Times" w:cs="Times" w:hint="default"/>
                <w:sz w:val="28"/>
                <w:szCs w:val="28"/>
              </w:rPr>
              <w:t>, де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кількість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інвалідів</w:t>
            </w:r>
            <w:r>
              <w:rPr>
                <w:rFonts w:ascii="Times" w:hAnsi="Times" w:cs="Times" w:hint="default"/>
                <w:sz w:val="28"/>
                <w:szCs w:val="28"/>
              </w:rPr>
              <w:t>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мають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організаціях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основне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місце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роботи</w:t>
            </w:r>
            <w:r>
              <w:rPr>
                <w:rFonts w:ascii="Times" w:hAnsi="Times" w:cs="Times" w:hint="default"/>
                <w:sz w:val="28"/>
                <w:szCs w:val="28"/>
              </w:rPr>
              <w:t>, становить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протяг</w:t>
            </w:r>
            <w:r>
              <w:rPr>
                <w:rFonts w:ascii="Times" w:hAnsi="Times" w:cs="Times" w:hint="default"/>
                <w:sz w:val="28"/>
                <w:szCs w:val="28"/>
              </w:rPr>
              <w:t>о</w:t>
            </w:r>
            <w:r>
              <w:rPr>
                <w:rFonts w:ascii="Times" w:hAnsi="Times" w:cs="Times" w:hint="default"/>
                <w:sz w:val="28"/>
                <w:szCs w:val="28"/>
              </w:rPr>
              <w:t>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попереднього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звітного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періоду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менш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50 відсотків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середньооблікової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кількості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штатних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працівників</w:t>
            </w:r>
            <w:r>
              <w:rPr>
                <w:rFonts w:ascii="Times" w:hAnsi="Times" w:cs="Times" w:hint="default"/>
                <w:sz w:val="28"/>
                <w:szCs w:val="28"/>
              </w:rPr>
              <w:t>, 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умови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фонд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праці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таких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інвалідів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становить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протягом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звітного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періоду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менш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як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25 відсотків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суми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витрат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оплати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праці</w:t>
            </w:r>
            <w:r>
              <w:rPr>
                <w:rFonts w:ascii="Times" w:hAnsi="Times" w:cs="Times" w:hint="default"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н</w:t>
            </w:r>
            <w:r>
              <w:rPr>
                <w:rFonts w:ascii="Times" w:hAnsi="Times" w:cs="Times" w:hint="default"/>
                <w:sz w:val="28"/>
                <w:szCs w:val="28"/>
              </w:rPr>
              <w:t>алежать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до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складу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витрат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згідно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правилами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оподаткування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податком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підприємств.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291.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положення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Стаття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291.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Загальні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положення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291.5.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можуть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бути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платниками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єдиного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першої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третьої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груп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291.5. Не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можуть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бути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платни</w:t>
            </w:r>
            <w:r>
              <w:rPr>
                <w:rFonts w:ascii="Times" w:hAnsi="Times" w:cs="Times" w:hint="default"/>
                <w:sz w:val="28"/>
                <w:szCs w:val="28"/>
              </w:rPr>
              <w:t>ками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єдиного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першої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третьої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груп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291.5.1. суб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господарювання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(юридичні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особи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фізичні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особи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підприємці</w:t>
            </w:r>
            <w:r>
              <w:rPr>
                <w:rFonts w:ascii="Times" w:hAnsi="Times" w:cs="Times" w:hint="default"/>
                <w:sz w:val="28"/>
                <w:szCs w:val="28"/>
              </w:rPr>
              <w:t>),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1) діяльність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організації</w:t>
            </w:r>
            <w:r>
              <w:rPr>
                <w:rFonts w:ascii="Times" w:hAnsi="Times" w:cs="Times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Times" w:hAnsi="Times" w:cs="Times" w:hint="default"/>
                <w:sz w:val="28"/>
                <w:szCs w:val="28"/>
              </w:rPr>
              <w:t>проведення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ігор</w:t>
            </w:r>
            <w:r>
              <w:rPr>
                <w:rFonts w:ascii="Times" w:hAnsi="Times" w:cs="Times" w:hint="default"/>
                <w:sz w:val="28"/>
                <w:szCs w:val="28"/>
              </w:rPr>
              <w:t>, лотерей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(крім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розповсюдження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),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(букмекерське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парі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тоталізатора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);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291.5.1. суб</w:t>
            </w:r>
            <w:r>
              <w:rPr>
                <w:rFonts w:ascii="Times" w:hAnsi="Times" w:cs="Times" w:hint="default"/>
                <w:sz w:val="28"/>
                <w:szCs w:val="28"/>
              </w:rPr>
              <w:t>'єкти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господарювання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(юридичні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особи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фізичні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особи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- підприємці</w:t>
            </w:r>
            <w:r>
              <w:rPr>
                <w:rFonts w:ascii="Times" w:hAnsi="Times" w:cs="Times" w:hint="default"/>
                <w:sz w:val="28"/>
                <w:szCs w:val="28"/>
              </w:rPr>
              <w:t>), які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здійснюють</w:t>
            </w:r>
            <w:r>
              <w:rPr>
                <w:rFonts w:ascii="Times" w:hAnsi="Times" w:cs="Times" w:hint="default"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1) діяльність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виробництва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імпорту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дистрибуції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обслуговування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грального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обладнання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також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організації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sz w:val="28"/>
                <w:szCs w:val="28"/>
              </w:rPr>
              <w:t>проведення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азартних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і</w:t>
            </w:r>
            <w:r>
              <w:rPr>
                <w:rFonts w:ascii="Times" w:hAnsi="Times" w:cs="Times" w:hint="default"/>
                <w:sz w:val="28"/>
                <w:szCs w:val="28"/>
              </w:rPr>
              <w:t>гор</w:t>
            </w:r>
            <w:r>
              <w:rPr>
                <w:rFonts w:ascii="Times" w:hAnsi="Times" w:cs="Times" w:hint="default"/>
                <w:sz w:val="28"/>
                <w:szCs w:val="28"/>
              </w:rPr>
              <w:t>;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center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РОЗДІЛ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XX. ПЕРЕХІДНІ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ПОЛОЖЕННЯ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center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РОЗДІЛ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XX. ПЕРЕХІДНІ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ПОЛОЖЕННЯ</w:t>
            </w:r>
          </w:p>
        </w:tc>
      </w:tr>
      <w:tr>
        <w:tblPrEx>
          <w:tblW w:w="14884" w:type="dxa"/>
          <w:tblBorders>
            <w:top w:val="none" w:sz="0" w:space="0" w:color="auto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center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Підрозділ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4. Особливості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справляння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center"/>
              <w:rPr>
                <w:rFonts w:ascii="Times" w:hAnsi="Times" w:cs="Times" w:hint="default"/>
                <w:sz w:val="28"/>
                <w:szCs w:val="28"/>
              </w:rPr>
            </w:pPr>
            <w:r>
              <w:rPr>
                <w:rFonts w:ascii="Times" w:hAnsi="Times" w:cs="Times" w:hint="default"/>
                <w:sz w:val="28"/>
                <w:szCs w:val="28"/>
              </w:rPr>
              <w:t>Підрозділ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4. Особливості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справляння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прибуток</w:t>
            </w:r>
            <w:r>
              <w:rPr>
                <w:rFonts w:ascii="Times" w:hAnsi="Times" w:cs="Times" w:hint="default"/>
                <w:sz w:val="28"/>
                <w:szCs w:val="28"/>
              </w:rPr>
              <w:t xml:space="preserve"> підприємств</w:t>
            </w:r>
          </w:p>
        </w:tc>
      </w:tr>
      <w:tr>
        <w:tblPrEx>
          <w:tblW w:w="14884" w:type="dxa"/>
          <w:tblBorders>
            <w:top w:val="none" w:sz="0" w:space="0" w:color="auto"/>
            <w:bottom w:val="single" w:sz="4" w:space="0" w:color="BFBFBF"/>
          </w:tblBorders>
          <w:tblLayout w:type="fixed"/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48.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Установити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що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розмір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дохід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від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операцій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випуску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та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проведення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лотерей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визначений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14.1.271 пункту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14.1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14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становить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: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 січня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2017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2017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включно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- 18 відсотків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 січня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2018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2018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включно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- 24 відсотки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 січня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2019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2019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включно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- 26 відсотків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 w:hint="default"/>
                <w:b/>
                <w:bCs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 січня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2020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31 грудня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2020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включно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- 28 відсотків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;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з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 січня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2021 року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застосовується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ставка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податку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, визначена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пунктом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136.6 статті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136 цього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 xml:space="preserve"> Кодексу.</w:t>
            </w:r>
          </w:p>
        </w:tc>
        <w:tc>
          <w:tcPr>
            <w:tcW w:w="75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extDirection w:val="lrTb"/>
            <w:vAlign w:val="top"/>
          </w:tcPr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  <w:r>
              <w:rPr>
                <w:rFonts w:ascii="Times" w:hAnsi="Times" w:cs="Times"/>
                <w:sz w:val="28"/>
                <w:szCs w:val="28"/>
              </w:rPr>
              <w:t xml:space="preserve">48. </w:t>
            </w:r>
            <w:r>
              <w:rPr>
                <w:rFonts w:ascii="Times" w:hAnsi="Times" w:cs="Times" w:hint="default"/>
                <w:b/>
                <w:bCs/>
                <w:sz w:val="28"/>
                <w:szCs w:val="28"/>
              </w:rPr>
              <w:t>Виключити.</w:t>
            </w:r>
          </w:p>
          <w:p w:rsidR="007F3AE9">
            <w:pPr>
              <w:widowControl w:val="0"/>
              <w:autoSpaceDE w:val="0"/>
              <w:autoSpaceDN w:val="0"/>
              <w:bidi w:val="0"/>
              <w:adjustRightInd w:val="0"/>
              <w:spacing w:line="276" w:lineRule="auto"/>
              <w:ind w:right="2"/>
              <w:jc w:val="both"/>
              <w:rPr>
                <w:rFonts w:ascii="Times" w:hAnsi="Times" w:cs="Times"/>
                <w:sz w:val="28"/>
                <w:szCs w:val="28"/>
              </w:rPr>
            </w:pPr>
          </w:p>
        </w:tc>
      </w:tr>
    </w:tbl>
    <w:p w:rsidR="007F3AE9">
      <w:pPr>
        <w:widowControl w:val="0"/>
        <w:autoSpaceDE w:val="0"/>
        <w:autoSpaceDN w:val="0"/>
        <w:bidi w:val="0"/>
        <w:adjustRightInd w:val="0"/>
        <w:ind w:right="2"/>
        <w:jc w:val="both"/>
        <w:rPr>
          <w:rFonts w:ascii="Times" w:hAnsi="Times" w:cs="Times"/>
          <w:b/>
          <w:bCs/>
          <w:sz w:val="28"/>
          <w:szCs w:val="28"/>
        </w:rPr>
      </w:pPr>
    </w:p>
    <w:p w:rsidR="007F3AE9" w:rsidP="007F3AE9">
      <w:pPr>
        <w:widowControl w:val="0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482"/>
          <w:tab w:val="left" w:pos="11624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line="360" w:lineRule="auto"/>
        <w:ind w:right="2" w:firstLine="567"/>
        <w:jc w:val="right"/>
        <w:rPr>
          <w:rFonts w:ascii="Times" w:hAnsi="Times" w:cs="Times"/>
          <w:b/>
          <w:bCs/>
          <w:sz w:val="28"/>
          <w:szCs w:val="28"/>
        </w:rPr>
      </w:pPr>
    </w:p>
    <w:p w:rsidR="007F3AE9" w:rsidP="007F3AE9">
      <w:pPr>
        <w:widowControl w:val="0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482"/>
          <w:tab w:val="left" w:pos="11624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line="360" w:lineRule="auto"/>
        <w:ind w:right="2" w:firstLine="567"/>
        <w:rPr>
          <w:rFonts w:ascii="Times" w:hAnsi="Times" w:cs="Times" w:hint="default"/>
          <w:b/>
          <w:bCs/>
          <w:sz w:val="28"/>
          <w:szCs w:val="28"/>
        </w:rPr>
      </w:pPr>
      <w:r>
        <w:rPr>
          <w:rFonts w:ascii="Times" w:hAnsi="Times" w:cs="Times" w:hint="default"/>
          <w:b/>
          <w:bCs/>
          <w:sz w:val="28"/>
          <w:szCs w:val="28"/>
        </w:rPr>
        <w:t>Н</w:t>
      </w:r>
      <w:r>
        <w:rPr>
          <w:rFonts w:ascii="Times" w:hAnsi="Times" w:cs="Times" w:hint="default"/>
          <w:b/>
          <w:bCs/>
          <w:sz w:val="28"/>
          <w:szCs w:val="28"/>
        </w:rPr>
        <w:t>ародні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депутати</w:t>
      </w:r>
      <w:r>
        <w:rPr>
          <w:rFonts w:ascii="Times" w:hAnsi="Times" w:cs="Times" w:hint="default"/>
          <w:b/>
          <w:bCs/>
          <w:sz w:val="28"/>
          <w:szCs w:val="28"/>
        </w:rPr>
        <w:t xml:space="preserve"> України</w:t>
      </w:r>
      <w:r>
        <w:rPr>
          <w:rFonts w:ascii="Times" w:hAnsi="Times" w:cs="Times" w:hint="default"/>
          <w:b/>
          <w:bCs/>
          <w:sz w:val="28"/>
          <w:szCs w:val="28"/>
        </w:rPr>
        <w:t xml:space="preserve">:  </w:t>
      </w:r>
    </w:p>
    <w:p w:rsidR="007F3AE9" w:rsidP="007F3AE9">
      <w:pPr>
        <w:widowControl w:val="0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482"/>
          <w:tab w:val="left" w:pos="11624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line="360" w:lineRule="auto"/>
        <w:ind w:right="2" w:firstLine="567"/>
        <w:jc w:val="right"/>
        <w:rPr>
          <w:rFonts w:ascii="Times" w:hAnsi="Times" w:cs="Times" w:hint="default"/>
          <w:b/>
          <w:bCs/>
          <w:sz w:val="28"/>
          <w:szCs w:val="28"/>
        </w:rPr>
      </w:pPr>
      <w:r>
        <w:rPr>
          <w:rFonts w:ascii="Times" w:hAnsi="Times" w:cs="Times" w:hint="default"/>
          <w:b/>
          <w:bCs/>
          <w:sz w:val="28"/>
          <w:szCs w:val="28"/>
        </w:rPr>
        <w:t xml:space="preserve">                                                                                                                          Р</w:t>
      </w:r>
      <w:r>
        <w:rPr>
          <w:rFonts w:ascii="Times" w:hAnsi="Times" w:cs="Times" w:hint="default"/>
          <w:b/>
          <w:bCs/>
          <w:sz w:val="28"/>
          <w:szCs w:val="28"/>
        </w:rPr>
        <w:t>. М</w:t>
      </w:r>
      <w:r>
        <w:rPr>
          <w:rFonts w:ascii="Times" w:hAnsi="Times" w:cs="Times" w:hint="default"/>
          <w:b/>
          <w:bCs/>
          <w:sz w:val="28"/>
          <w:szCs w:val="28"/>
        </w:rPr>
        <w:t>. Мулик</w:t>
      </w:r>
    </w:p>
    <w:p w:rsidR="007F3AE9" w:rsidRPr="007F3AE9" w:rsidP="007F3AE9">
      <w:pPr>
        <w:widowControl w:val="0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482"/>
          <w:tab w:val="left" w:pos="11624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line="360" w:lineRule="auto"/>
        <w:ind w:right="2" w:firstLine="567"/>
        <w:jc w:val="right"/>
        <w:rPr>
          <w:rFonts w:ascii="Times" w:hAnsi="Times" w:cs="Times"/>
          <w:b/>
          <w:bCs/>
          <w:sz w:val="28"/>
          <w:szCs w:val="28"/>
          <w:lang w:val="uk-UA"/>
        </w:rPr>
      </w:pPr>
      <w:r>
        <w:rPr>
          <w:rFonts w:ascii="Times" w:hAnsi="Times" w:cs="Times" w:hint="default"/>
          <w:b/>
          <w:bCs/>
          <w:sz w:val="28"/>
          <w:szCs w:val="28"/>
          <w:lang w:val="uk-UA"/>
        </w:rPr>
        <w:t>В.О</w:t>
      </w:r>
      <w:r>
        <w:rPr>
          <w:rFonts w:ascii="Times" w:hAnsi="Times" w:cs="Times" w:hint="default"/>
          <w:b/>
          <w:bCs/>
          <w:sz w:val="28"/>
          <w:szCs w:val="28"/>
          <w:lang w:val="uk-UA"/>
        </w:rPr>
        <w:t>. Струневич</w:t>
      </w:r>
    </w:p>
    <w:p w:rsidR="007F3AE9" w:rsidRPr="006149F0">
      <w:pPr>
        <w:widowControl w:val="0"/>
        <w:autoSpaceDE w:val="0"/>
        <w:autoSpaceDN w:val="0"/>
        <w:bidi w:val="0"/>
        <w:adjustRightInd w:val="0"/>
        <w:ind w:right="2" w:firstLine="34"/>
        <w:jc w:val="right"/>
        <w:rPr>
          <w:rFonts w:ascii="Times" w:hAnsi="Times" w:cs="Times"/>
          <w:b/>
          <w:bCs/>
          <w:sz w:val="28"/>
          <w:szCs w:val="28"/>
          <w:lang w:val="uk-UA"/>
        </w:rPr>
      </w:pPr>
    </w:p>
    <w:sectPr>
      <w:pgSz w:w="16840" w:h="11900"/>
      <w:pgMar w:top="851" w:right="1080" w:bottom="993" w:left="1080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Helvetica">
    <w:panose1 w:val="00000000000000000000"/>
    <w:charset w:val="EE"/>
    <w:family w:val="auto"/>
    <w:pitch w:val="variable"/>
    <w:sig w:usb0="00000000" w:usb1="00000000" w:usb2="00000000" w:usb3="00000000" w:csb0="0000019F" w:csb1="00000000"/>
  </w:font>
  <w:font w:name="Cambria Math">
    <w:altName w:val="Device Font 10cpi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Times">
    <w:panose1 w:val="00000000000000000000"/>
    <w:charset w:val="EE"/>
    <w:family w:val="auto"/>
    <w:pitch w:val="variable"/>
    <w:sig w:usb0="00000000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7F3AE9"/>
    <w:rsid w:val="006149F0"/>
    <w:rsid w:val="006E17A3"/>
    <w:rsid w:val="007F3AE9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eastAsiaTheme="minorEastAsia" w:hAnsiTheme="minorHAnsi"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2755-17%22%20%5Cl%20%22n11197" TargetMode="External" /><Relationship Id="rId5" Type="http://schemas.openxmlformats.org/officeDocument/2006/relationships/hyperlink" Target="https://zakon.rada.gov.ua/laws/show/2755-17%22%20%5Cl%20%22n14567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10</Pages>
  <Words>2227</Words>
  <Characters>14344</Characters>
  <Application>Microsoft Office Word</Application>
  <DocSecurity>0</DocSecurity>
  <Lines>0</Lines>
  <Paragraphs>0</Paragraphs>
  <ScaleCrop>false</ScaleCrop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2020-01-20T01:18:39Z</dcterms:created>
  <dcterms:modified xsi:type="dcterms:W3CDTF">2020-01-20T01:18:39Z</dcterms:modified>
</cp:coreProperties>
</file>