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7CC" w:rsidRPr="00945A87" w:rsidRDefault="002967CC" w:rsidP="00DD3209">
      <w:pPr>
        <w:jc w:val="center"/>
        <w:outlineLvl w:val="0"/>
        <w:rPr>
          <w:b/>
          <w:bCs/>
        </w:rPr>
      </w:pPr>
      <w:bookmarkStart w:id="0" w:name="_GoBack"/>
      <w:bookmarkEnd w:id="0"/>
      <w:r w:rsidRPr="00945A87">
        <w:rPr>
          <w:b/>
          <w:bCs/>
        </w:rPr>
        <w:t>ПОЯСНЮВАЛЬНА ЗАПИСКА</w:t>
      </w:r>
    </w:p>
    <w:p w:rsidR="002967CC" w:rsidRPr="00945A87" w:rsidRDefault="002967CC" w:rsidP="00DD3209">
      <w:pPr>
        <w:tabs>
          <w:tab w:val="center" w:pos="7143"/>
          <w:tab w:val="left" w:pos="10060"/>
        </w:tabs>
        <w:jc w:val="center"/>
        <w:rPr>
          <w:b/>
          <w:bCs/>
          <w:spacing w:val="2"/>
        </w:rPr>
      </w:pPr>
      <w:r w:rsidRPr="00945A87">
        <w:rPr>
          <w:b/>
          <w:bCs/>
        </w:rPr>
        <w:t>до проекту Закону України «</w:t>
      </w:r>
      <w:r w:rsidR="00AD27C6" w:rsidRPr="00945A87">
        <w:rPr>
          <w:b/>
          <w:bCs/>
        </w:rPr>
        <w:t xml:space="preserve">Про </w:t>
      </w:r>
      <w:r w:rsidR="008571E7">
        <w:rPr>
          <w:b/>
          <w:bCs/>
        </w:rPr>
        <w:t>вихід із</w:t>
      </w:r>
      <w:r w:rsidR="008571E7" w:rsidRPr="00945A87">
        <w:rPr>
          <w:b/>
          <w:bCs/>
        </w:rPr>
        <w:t xml:space="preserve"> </w:t>
      </w:r>
      <w:r w:rsidR="00AD27C6" w:rsidRPr="00945A87">
        <w:rPr>
          <w:b/>
          <w:bCs/>
        </w:rPr>
        <w:t>Договору про проведення узгодженої антимонопольної політики</w:t>
      </w:r>
      <w:r w:rsidRPr="00945A87">
        <w:rPr>
          <w:b/>
          <w:bCs/>
          <w:spacing w:val="2"/>
        </w:rPr>
        <w:t>»</w:t>
      </w:r>
    </w:p>
    <w:p w:rsidR="002967CC" w:rsidRPr="00945A87" w:rsidRDefault="002967CC" w:rsidP="00946B98">
      <w:pPr>
        <w:spacing w:line="240" w:lineRule="auto"/>
        <w:ind w:firstLine="709"/>
        <w:jc w:val="both"/>
      </w:pPr>
    </w:p>
    <w:p w:rsidR="00544422" w:rsidRPr="00945A87" w:rsidRDefault="00544422" w:rsidP="00DD3209">
      <w:pPr>
        <w:ind w:firstLine="709"/>
      </w:pPr>
    </w:p>
    <w:p w:rsidR="003B6AF6" w:rsidRPr="00945A87" w:rsidRDefault="00BD5D21" w:rsidP="00BD5D21">
      <w:pPr>
        <w:numPr>
          <w:ilvl w:val="0"/>
          <w:numId w:val="2"/>
        </w:numPr>
        <w:spacing w:line="360" w:lineRule="auto"/>
        <w:jc w:val="both"/>
        <w:outlineLvl w:val="0"/>
        <w:rPr>
          <w:b/>
          <w:bCs/>
        </w:rPr>
      </w:pPr>
      <w:r>
        <w:rPr>
          <w:b/>
          <w:bCs/>
        </w:rPr>
        <w:t>Резюме</w:t>
      </w:r>
      <w:r w:rsidR="003B6AF6" w:rsidRPr="00945A87">
        <w:rPr>
          <w:b/>
          <w:bCs/>
        </w:rPr>
        <w:t>:</w:t>
      </w:r>
    </w:p>
    <w:p w:rsidR="007862E9" w:rsidRPr="00945A87" w:rsidRDefault="003B2D86" w:rsidP="00DD3209">
      <w:pPr>
        <w:spacing w:line="360" w:lineRule="auto"/>
        <w:ind w:firstLine="709"/>
        <w:jc w:val="both"/>
      </w:pPr>
      <w:r w:rsidRPr="00945A87">
        <w:t>Проект акта розроблено з метою</w:t>
      </w:r>
      <w:r w:rsidR="007845C5" w:rsidRPr="00945A87">
        <w:t xml:space="preserve"> </w:t>
      </w:r>
      <w:r w:rsidR="001D602A" w:rsidRPr="00945A87">
        <w:t xml:space="preserve">захисту національних </w:t>
      </w:r>
      <w:r w:rsidR="006C2701" w:rsidRPr="00945A87">
        <w:t xml:space="preserve">економічних </w:t>
      </w:r>
      <w:r w:rsidR="001D602A" w:rsidRPr="00945A87">
        <w:t>інтересів, незалежності, суверенітету та те</w:t>
      </w:r>
      <w:r w:rsidR="006C2701" w:rsidRPr="00945A87">
        <w:t>риторіальної цілісності України</w:t>
      </w:r>
      <w:r w:rsidR="007862E9" w:rsidRPr="00945A87">
        <w:t>.</w:t>
      </w:r>
    </w:p>
    <w:p w:rsidR="00BD5D21" w:rsidRDefault="00BD5D21" w:rsidP="00BD5D21">
      <w:pPr>
        <w:spacing w:line="360" w:lineRule="auto"/>
        <w:ind w:firstLine="709"/>
        <w:jc w:val="both"/>
        <w:outlineLvl w:val="0"/>
        <w:rPr>
          <w:b/>
          <w:bCs/>
        </w:rPr>
      </w:pPr>
      <w:r w:rsidRPr="00BD5D21">
        <w:rPr>
          <w:b/>
          <w:bCs/>
        </w:rPr>
        <w:t>2. Проблема, яка потребує розв’язання</w:t>
      </w:r>
    </w:p>
    <w:p w:rsidR="006C2701" w:rsidRPr="00945A87" w:rsidRDefault="006C2701" w:rsidP="00BD5D21">
      <w:pPr>
        <w:spacing w:line="360" w:lineRule="auto"/>
        <w:ind w:firstLine="709"/>
        <w:jc w:val="both"/>
        <w:outlineLvl w:val="0"/>
      </w:pPr>
      <w:r w:rsidRPr="00945A87">
        <w:t xml:space="preserve">Антимонопольний комітет України (надалі – Комітет) на підставі Договору про проведення узгодженої антимонопольної політики від 25 січня 2000 року (далі – Договір) здійснює співробітництво з органами захисту конкуренції держав – учасниць Співдружності Незалежних Держав, що переважно полягає в обміні інформацією під час розгляду справ про порушення законодавства про захист економічної конкуренції та аналізу стану конкуренції на ринках. </w:t>
      </w:r>
    </w:p>
    <w:p w:rsidR="006C2701" w:rsidRPr="00945A87" w:rsidRDefault="006C2701" w:rsidP="006C2701">
      <w:pPr>
        <w:spacing w:line="360" w:lineRule="auto"/>
        <w:ind w:firstLine="709"/>
        <w:jc w:val="both"/>
      </w:pPr>
      <w:r w:rsidRPr="00945A87">
        <w:t xml:space="preserve">Статтею 4 Договору передбачено функціонування Міждержавної ради з антимонопольної політики (надалі – Міждержавна рада), основним завданням якої є вироблення критеріїв та способів оцінки монополістичної діяльності, недобросовісної конкуренції, процедур розслідування справ щодо порушення правил конкуренції, а також розроблення правил та механізмів впливу на суб’єктів господарювання, органи влади і управління, що порушують правила конкуренції на товарному ринку та узгодження їх між Сторонами. </w:t>
      </w:r>
    </w:p>
    <w:p w:rsidR="006C2701" w:rsidRPr="00945A87" w:rsidRDefault="006C2701" w:rsidP="006C2701">
      <w:pPr>
        <w:spacing w:line="360" w:lineRule="auto"/>
        <w:ind w:firstLine="709"/>
        <w:jc w:val="both"/>
      </w:pPr>
      <w:r w:rsidRPr="00945A87">
        <w:t>Додаток 2 до Договору «Положення про Міждержавну раду з антимонопольної політики» передбачає, що Міждержавна рада за своєю формою є колегіальним органом, який складається з повноважних представників Сторін</w:t>
      </w:r>
      <w:r w:rsidR="003A71E5" w:rsidRPr="00945A87">
        <w:t>,</w:t>
      </w:r>
      <w:r w:rsidRPr="00945A87">
        <w:t xml:space="preserve"> з яких обирається Голова і дв</w:t>
      </w:r>
      <w:r w:rsidR="00945A87" w:rsidRPr="00945A87">
        <w:t>а</w:t>
      </w:r>
      <w:r w:rsidRPr="00945A87">
        <w:t xml:space="preserve"> заступник</w:t>
      </w:r>
      <w:r w:rsidR="00945A87" w:rsidRPr="00945A87">
        <w:t>а</w:t>
      </w:r>
      <w:r w:rsidRPr="00945A87">
        <w:t xml:space="preserve">. </w:t>
      </w:r>
    </w:p>
    <w:p w:rsidR="006C2701" w:rsidRPr="00945A87" w:rsidRDefault="003A71E5" w:rsidP="006C2701">
      <w:pPr>
        <w:spacing w:line="360" w:lineRule="auto"/>
        <w:ind w:firstLine="709"/>
        <w:jc w:val="both"/>
      </w:pPr>
      <w:r w:rsidRPr="00945A87">
        <w:t xml:space="preserve">Представники України вже тривалий час не беруть участі у засіданнях Міждержавної ради. </w:t>
      </w:r>
      <w:r w:rsidR="006C2701" w:rsidRPr="00945A87">
        <w:t>Положення Договору у відносинах з Російською Федерацією не застосовуються з 2014 року.</w:t>
      </w:r>
      <w:r w:rsidRPr="00945A87">
        <w:t xml:space="preserve"> </w:t>
      </w:r>
      <w:r w:rsidR="006C2701" w:rsidRPr="00945A87">
        <w:t xml:space="preserve">Також не застосовуються і інші положення Договору щодо повідомлень держав-учасниць Договору про </w:t>
      </w:r>
      <w:r w:rsidR="006C2701" w:rsidRPr="00945A87">
        <w:lastRenderedPageBreak/>
        <w:t>проведення антимонопольними відомствами розслідувань, заяв про розгляд справи та консультацій.</w:t>
      </w:r>
    </w:p>
    <w:p w:rsidR="006C2701" w:rsidRPr="00945A87" w:rsidRDefault="006C2701" w:rsidP="006C2701">
      <w:pPr>
        <w:spacing w:line="360" w:lineRule="auto"/>
        <w:ind w:firstLine="709"/>
        <w:jc w:val="both"/>
      </w:pPr>
      <w:r w:rsidRPr="00945A87">
        <w:t xml:space="preserve">Оскільки Договір містить певні механізми обміну інформацією, існує ризик отримання державами-членами СНД інформації, яка може бути використана для здійснення торговельно-економічного тиску на Україну. </w:t>
      </w:r>
    </w:p>
    <w:p w:rsidR="00951E2F" w:rsidRDefault="003A71E5" w:rsidP="006C2701">
      <w:pPr>
        <w:spacing w:line="360" w:lineRule="auto"/>
        <w:ind w:firstLine="709"/>
        <w:jc w:val="both"/>
      </w:pPr>
      <w:r w:rsidRPr="00945A87">
        <w:t xml:space="preserve">Вихід </w:t>
      </w:r>
      <w:r w:rsidR="006C2701" w:rsidRPr="00945A87">
        <w:t xml:space="preserve">України </w:t>
      </w:r>
      <w:r w:rsidRPr="00945A87">
        <w:t>з Договору захистить національні</w:t>
      </w:r>
      <w:r w:rsidR="006C2701" w:rsidRPr="00945A87">
        <w:t xml:space="preserve"> </w:t>
      </w:r>
      <w:r w:rsidRPr="00945A87">
        <w:t xml:space="preserve">економічні </w:t>
      </w:r>
      <w:r w:rsidR="006C2701" w:rsidRPr="00945A87">
        <w:t>інтерес</w:t>
      </w:r>
      <w:r w:rsidRPr="00945A87">
        <w:t>и</w:t>
      </w:r>
      <w:r w:rsidR="006C2701" w:rsidRPr="00945A87">
        <w:t xml:space="preserve"> України, </w:t>
      </w:r>
      <w:r w:rsidRPr="00945A87">
        <w:t xml:space="preserve">усуваючи </w:t>
      </w:r>
      <w:r w:rsidR="006C2701" w:rsidRPr="00945A87">
        <w:t>механізм, який зумовлює міждержавний обмін інформацією з економічних питань.</w:t>
      </w:r>
    </w:p>
    <w:p w:rsidR="008571E7" w:rsidRDefault="008571E7" w:rsidP="006C2701">
      <w:pPr>
        <w:spacing w:line="360" w:lineRule="auto"/>
        <w:ind w:firstLine="709"/>
        <w:jc w:val="both"/>
      </w:pPr>
      <w:r>
        <w:t>В</w:t>
      </w:r>
      <w:r w:rsidR="00011F9A">
        <w:t>одно</w:t>
      </w:r>
      <w:r>
        <w:t xml:space="preserve">час, співробітництво </w:t>
      </w:r>
      <w:r w:rsidRPr="008571E7">
        <w:t>з органами захисту конкуренції держав – учасниць Співдружності Незалежних Держав</w:t>
      </w:r>
      <w:r>
        <w:t xml:space="preserve"> після припинення дії Договору здійснюватиметься на підставі таких </w:t>
      </w:r>
      <w:r w:rsidRPr="008571E7">
        <w:t>підписаних міжнародних урядових та відомчих договорів (меморандумів)</w:t>
      </w:r>
      <w:r>
        <w:t>:</w:t>
      </w:r>
    </w:p>
    <w:p w:rsidR="008571E7" w:rsidRDefault="008571E7" w:rsidP="008571E7">
      <w:pPr>
        <w:spacing w:line="360" w:lineRule="auto"/>
        <w:ind w:firstLine="709"/>
        <w:jc w:val="both"/>
      </w:pPr>
      <w:r>
        <w:t>1. Угода між Кабінетом Міністрів України та Урядом Азербайджанської Республіки про співробітництво в галузі конкурентної політики (Дата підписання 29.08.2002; дата затвердження Україною: 15.05.2003; дата набрання чинності для України: 15.07.2003)</w:t>
      </w:r>
      <w:r w:rsidR="00011F9A">
        <w:t>;</w:t>
      </w:r>
    </w:p>
    <w:p w:rsidR="008571E7" w:rsidRDefault="008571E7" w:rsidP="008571E7">
      <w:pPr>
        <w:spacing w:line="360" w:lineRule="auto"/>
        <w:ind w:firstLine="709"/>
        <w:jc w:val="both"/>
      </w:pPr>
      <w:r>
        <w:t>2. Договір між Кабінетом Міністрів України та Урядом Республіки Вірменія про співробітництво в галузі конкурентної політики (дата підписання: 11.05.2004; дата набуття чинності: 07.02.2005)</w:t>
      </w:r>
      <w:r w:rsidR="00011F9A">
        <w:t>;</w:t>
      </w:r>
    </w:p>
    <w:p w:rsidR="008571E7" w:rsidRDefault="008571E7" w:rsidP="008571E7">
      <w:pPr>
        <w:spacing w:line="360" w:lineRule="auto"/>
        <w:ind w:firstLine="709"/>
        <w:jc w:val="both"/>
      </w:pPr>
      <w:r>
        <w:t>3. Договір між Кабінетом Міністрів України та Урядом Російської Федерації про співробітництво в галузі розвитку конкуренції (дата підписання: 13.07.2000; дата набуття чинності: 26.07.2001)</w:t>
      </w:r>
      <w:r w:rsidR="00011F9A">
        <w:t>;</w:t>
      </w:r>
    </w:p>
    <w:p w:rsidR="008571E7" w:rsidRDefault="008571E7" w:rsidP="008571E7">
      <w:pPr>
        <w:spacing w:line="360" w:lineRule="auto"/>
        <w:ind w:firstLine="709"/>
        <w:jc w:val="both"/>
      </w:pPr>
      <w:r>
        <w:t>4. Угода про співробітництво між Міністерством підприємництва та інвестицій Республіки Бєларусь та Антимонопольним комітетом України (дата прийняття: 18.02.1997; дата набуття чинності для України: 18.02.1997) із змінами від 20.12.2017 року</w:t>
      </w:r>
      <w:r w:rsidR="00011F9A">
        <w:t>;</w:t>
      </w:r>
    </w:p>
    <w:p w:rsidR="008571E7" w:rsidRDefault="008571E7" w:rsidP="008571E7">
      <w:pPr>
        <w:spacing w:line="360" w:lineRule="auto"/>
        <w:ind w:firstLine="709"/>
        <w:jc w:val="both"/>
      </w:pPr>
      <w:r>
        <w:t>5. Меморандум про співробітництво у сфері конкурентної політики між Антимонопольним комітетом України та Радою з конкуренції Республіки Молдова (дата підписання: 30.06.2016; дата набуття чинності: 30.06.2016)</w:t>
      </w:r>
      <w:r w:rsidR="00011F9A">
        <w:t>;</w:t>
      </w:r>
    </w:p>
    <w:p w:rsidR="008571E7" w:rsidRDefault="008571E7" w:rsidP="008571E7">
      <w:pPr>
        <w:spacing w:line="360" w:lineRule="auto"/>
        <w:ind w:firstLine="709"/>
        <w:jc w:val="both"/>
      </w:pPr>
      <w:r>
        <w:lastRenderedPageBreak/>
        <w:t>6. Меморандум про співробітництво у сфері конкурентної політики між Антимонопольним комітетом України та Агенцією з конкуренції Грузії (дата підписання: 28.09.2018. дата набуття чинності: 28.09.2018).</w:t>
      </w:r>
    </w:p>
    <w:p w:rsidR="00EE5F05" w:rsidRDefault="00EE5F05" w:rsidP="00EE5F05">
      <w:pPr>
        <w:spacing w:line="360" w:lineRule="auto"/>
        <w:ind w:firstLine="709"/>
        <w:jc w:val="both"/>
      </w:pPr>
      <w:r>
        <w:t>Зазначені д</w:t>
      </w:r>
      <w:r w:rsidRPr="00EE5F05">
        <w:t>огов</w:t>
      </w:r>
      <w:r>
        <w:t>о</w:t>
      </w:r>
      <w:r w:rsidRPr="00EE5F05">
        <w:t>р</w:t>
      </w:r>
      <w:r>
        <w:t>и та меморандуми</w:t>
      </w:r>
      <w:r w:rsidRPr="00EE5F05">
        <w:t xml:space="preserve"> міст</w:t>
      </w:r>
      <w:r>
        <w:t>я</w:t>
      </w:r>
      <w:r w:rsidRPr="00EE5F05">
        <w:t xml:space="preserve">ть процедуру конкретної взаємодії органів влади та управління у сфері застосування національного антимонопольного законодавства, координації спільних дій щодо </w:t>
      </w:r>
      <w:r w:rsidR="00F2212C">
        <w:t>запобігання</w:t>
      </w:r>
      <w:r w:rsidRPr="00EE5F05">
        <w:t>, обмеження і припинення антиконкурентної діяльності суб'єктів господарювання, подолання негативних наслідків такої діяльності або втручання державних органів у господарську діяльність країн-партнерів, якщо вони зачіпають важливі інтереси сторін і негативно впливають на їхні торгівельні відносини</w:t>
      </w:r>
      <w:r>
        <w:t xml:space="preserve">. </w:t>
      </w:r>
      <w:r w:rsidR="00A91E33">
        <w:t>Т</w:t>
      </w:r>
      <w:r>
        <w:t>екстами зазначених договорів та меморандумів передбачен</w:t>
      </w:r>
      <w:r w:rsidR="00F2212C">
        <w:t>о</w:t>
      </w:r>
      <w:r>
        <w:t xml:space="preserve"> можливість здійснення співробітництва у галузі конкуренції, в тому числі шляхом:</w:t>
      </w:r>
    </w:p>
    <w:p w:rsidR="00EE5F05" w:rsidRDefault="00EE5F05" w:rsidP="00EE5F05">
      <w:pPr>
        <w:spacing w:line="360" w:lineRule="auto"/>
        <w:ind w:firstLine="709"/>
        <w:jc w:val="both"/>
      </w:pPr>
      <w:r>
        <w:t>надсилання повідомлень;</w:t>
      </w:r>
    </w:p>
    <w:p w:rsidR="00EE5F05" w:rsidRDefault="00EE5F05" w:rsidP="00EE5F05">
      <w:pPr>
        <w:spacing w:line="360" w:lineRule="auto"/>
        <w:ind w:firstLine="709"/>
        <w:jc w:val="both"/>
      </w:pPr>
      <w:r>
        <w:t>запиту інформації;</w:t>
      </w:r>
    </w:p>
    <w:p w:rsidR="00EE5F05" w:rsidRDefault="00EE5F05" w:rsidP="00EE5F05">
      <w:pPr>
        <w:spacing w:line="360" w:lineRule="auto"/>
        <w:ind w:firstLine="709"/>
        <w:jc w:val="both"/>
      </w:pPr>
      <w:r>
        <w:t>проведення консультацій;</w:t>
      </w:r>
    </w:p>
    <w:p w:rsidR="00EE5F05" w:rsidRDefault="00EE5F05" w:rsidP="00EE5F05">
      <w:pPr>
        <w:spacing w:line="360" w:lineRule="auto"/>
        <w:ind w:firstLine="709"/>
        <w:jc w:val="both"/>
      </w:pPr>
      <w:r>
        <w:t>обміну інформацією;</w:t>
      </w:r>
    </w:p>
    <w:p w:rsidR="00EE5F05" w:rsidRDefault="00EE5F05" w:rsidP="00EE5F05">
      <w:pPr>
        <w:spacing w:line="360" w:lineRule="auto"/>
        <w:ind w:firstLine="709"/>
        <w:jc w:val="both"/>
      </w:pPr>
      <w:r>
        <w:t>обміну досвідом;</w:t>
      </w:r>
    </w:p>
    <w:p w:rsidR="00EE5F05" w:rsidRPr="00945A87" w:rsidRDefault="00EE5F05" w:rsidP="00EE5F05">
      <w:pPr>
        <w:spacing w:line="360" w:lineRule="auto"/>
        <w:ind w:firstLine="709"/>
        <w:jc w:val="both"/>
      </w:pPr>
      <w:r>
        <w:t>проведення спільних досліджень.</w:t>
      </w:r>
    </w:p>
    <w:p w:rsidR="00D505B6" w:rsidRDefault="003D2AD6" w:rsidP="00D505B6">
      <w:pPr>
        <w:spacing w:line="360" w:lineRule="auto"/>
        <w:ind w:firstLine="708"/>
        <w:jc w:val="both"/>
        <w:outlineLvl w:val="0"/>
      </w:pPr>
      <w:r>
        <w:t xml:space="preserve">Крім того, Комітет здійснює </w:t>
      </w:r>
      <w:r w:rsidR="00D505B6">
        <w:t>міжнародне співробітництво в сф</w:t>
      </w:r>
      <w:r>
        <w:t>ері захисту економічної конкуренці</w:t>
      </w:r>
      <w:r w:rsidR="00D505B6">
        <w:t>ї</w:t>
      </w:r>
      <w:r>
        <w:t xml:space="preserve"> з </w:t>
      </w:r>
      <w:r w:rsidR="00D505B6">
        <w:t>Організацією</w:t>
      </w:r>
      <w:r>
        <w:t xml:space="preserve"> економічного співробітництва та розвит</w:t>
      </w:r>
      <w:r w:rsidR="00D505B6">
        <w:t xml:space="preserve">ку (OECD Competition Committee) та </w:t>
      </w:r>
      <w:r>
        <w:t xml:space="preserve">в рамках Регіонального Центру з </w:t>
      </w:r>
      <w:r w:rsidR="00F2212C">
        <w:t xml:space="preserve">конкуренції </w:t>
      </w:r>
      <w:r>
        <w:t>Організації економічного співробітництва та розвитку в м.</w:t>
      </w:r>
      <w:r w:rsidR="00011F9A">
        <w:t> </w:t>
      </w:r>
      <w:r>
        <w:t>Будапешт, Угорщина (OECD RCC-GVH).</w:t>
      </w:r>
      <w:r w:rsidRPr="00945A87" w:rsidDel="008571E7">
        <w:t xml:space="preserve"> </w:t>
      </w:r>
    </w:p>
    <w:p w:rsidR="00F97DAA" w:rsidRDefault="00D505B6" w:rsidP="00D505B6">
      <w:pPr>
        <w:spacing w:line="360" w:lineRule="auto"/>
        <w:ind w:firstLine="708"/>
        <w:jc w:val="both"/>
        <w:outlineLvl w:val="0"/>
      </w:pPr>
      <w:r>
        <w:t xml:space="preserve">Таким чином, </w:t>
      </w:r>
      <w:r w:rsidR="00F2212C">
        <w:t xml:space="preserve">чинні </w:t>
      </w:r>
      <w:r w:rsidRPr="00D505B6">
        <w:t>міжнародн</w:t>
      </w:r>
      <w:r>
        <w:t>і</w:t>
      </w:r>
      <w:r w:rsidRPr="00D505B6">
        <w:t xml:space="preserve"> урядов</w:t>
      </w:r>
      <w:r>
        <w:t>і</w:t>
      </w:r>
      <w:r w:rsidRPr="00D505B6">
        <w:t xml:space="preserve"> та відомч</w:t>
      </w:r>
      <w:r>
        <w:t>і</w:t>
      </w:r>
      <w:r w:rsidRPr="00D505B6">
        <w:t xml:space="preserve"> договор</w:t>
      </w:r>
      <w:r>
        <w:t>и</w:t>
      </w:r>
      <w:r w:rsidRPr="00D505B6">
        <w:t xml:space="preserve"> (меморандум</w:t>
      </w:r>
      <w:r>
        <w:t>и</w:t>
      </w:r>
      <w:r w:rsidRPr="00D505B6">
        <w:t>)</w:t>
      </w:r>
      <w:r>
        <w:t xml:space="preserve"> достатньою мірою забезпечать захист національних інтересів України у сфері антимонопольної політики після припинення ді</w:t>
      </w:r>
      <w:r w:rsidR="00741ADA">
        <w:t>ї</w:t>
      </w:r>
      <w:r>
        <w:t xml:space="preserve"> Договору.</w:t>
      </w:r>
    </w:p>
    <w:p w:rsidR="00F97DAA" w:rsidRDefault="00F97DAA" w:rsidP="00D505B6">
      <w:pPr>
        <w:spacing w:line="360" w:lineRule="auto"/>
        <w:ind w:firstLine="708"/>
        <w:jc w:val="both"/>
        <w:outlineLvl w:val="0"/>
      </w:pPr>
      <w:r w:rsidRPr="00F97DAA">
        <w:t>На даний час в України відсутні чинні угоди (договори, меморандуми) в галузі конкурентної політики з Республікою Казахстан, Республікою Киргизстан, Республікою Таджикистан.</w:t>
      </w:r>
      <w:r>
        <w:t xml:space="preserve"> При цьому, потреба </w:t>
      </w:r>
      <w:r w:rsidR="004517DE">
        <w:t>в</w:t>
      </w:r>
      <w:r>
        <w:t xml:space="preserve"> </w:t>
      </w:r>
      <w:r w:rsidR="004517DE">
        <w:t xml:space="preserve">укладенні </w:t>
      </w:r>
      <w:r>
        <w:lastRenderedPageBreak/>
        <w:t>договорів про співробітництво  у сфері конкуренції з Республікою Киргизстан та</w:t>
      </w:r>
      <w:r w:rsidRPr="00F97DAA">
        <w:t xml:space="preserve"> Республікою Таджикистан</w:t>
      </w:r>
      <w:r w:rsidRPr="00945A87" w:rsidDel="008571E7">
        <w:t xml:space="preserve"> </w:t>
      </w:r>
      <w:r>
        <w:t xml:space="preserve">на даний час відсутня. </w:t>
      </w:r>
    </w:p>
    <w:p w:rsidR="00F97DAA" w:rsidRDefault="00F97DAA" w:rsidP="00D505B6">
      <w:pPr>
        <w:spacing w:line="360" w:lineRule="auto"/>
        <w:ind w:firstLine="708"/>
        <w:jc w:val="both"/>
        <w:outlineLvl w:val="0"/>
      </w:pPr>
      <w:r>
        <w:t>Після виходу України з Договору, Комітетом буде розпочата робота щодо можливості укладення міжнародного урядового або в</w:t>
      </w:r>
      <w:r w:rsidR="00411BE4">
        <w:t>ідомчого договору (меморандуму)</w:t>
      </w:r>
      <w:r>
        <w:t xml:space="preserve"> щодо співробітництва в сфері конкуренції з Комітетом з регулювання природних монополій, захисту конкуренції та прав споживачів Міністерства національної економіки Республіки Казахстан.</w:t>
      </w:r>
    </w:p>
    <w:p w:rsidR="003A71E5" w:rsidRPr="00945A87" w:rsidRDefault="00F97DAA" w:rsidP="00D505B6">
      <w:pPr>
        <w:spacing w:line="360" w:lineRule="auto"/>
        <w:ind w:firstLine="708"/>
        <w:jc w:val="both"/>
        <w:outlineLvl w:val="0"/>
        <w:rPr>
          <w:b/>
          <w:bCs/>
        </w:rPr>
      </w:pPr>
      <w:r>
        <w:t xml:space="preserve">Крім того, Комітетом </w:t>
      </w:r>
      <w:r w:rsidR="00C23F73">
        <w:t xml:space="preserve">планується проведення роботи щодо </w:t>
      </w:r>
      <w:r w:rsidR="00411BE4">
        <w:t>припинення дії</w:t>
      </w:r>
      <w:r w:rsidR="00C23F73">
        <w:t xml:space="preserve"> </w:t>
      </w:r>
      <w:r>
        <w:t xml:space="preserve"> </w:t>
      </w:r>
      <w:r w:rsidR="00C23F73" w:rsidRPr="00C23F73">
        <w:t>Догов</w:t>
      </w:r>
      <w:r w:rsidR="00411BE4">
        <w:t>о</w:t>
      </w:r>
      <w:r w:rsidR="00C23F73" w:rsidRPr="00C23F73">
        <w:t>р</w:t>
      </w:r>
      <w:r w:rsidR="00C23F73">
        <w:t>у</w:t>
      </w:r>
      <w:r w:rsidR="00C23F73" w:rsidRPr="00C23F73">
        <w:t xml:space="preserve"> між Кабінетом Міністрів України та Урядом Російської Федерації про співробітництво в галузі розвитку конкуренції</w:t>
      </w:r>
      <w:r w:rsidR="00C23F73">
        <w:t>.</w:t>
      </w:r>
      <w:r w:rsidR="00C23F73" w:rsidRPr="00C23F73">
        <w:t xml:space="preserve"> </w:t>
      </w:r>
    </w:p>
    <w:p w:rsidR="00BD5D21" w:rsidRDefault="00BD5D21" w:rsidP="00544422">
      <w:pPr>
        <w:spacing w:line="360" w:lineRule="auto"/>
        <w:ind w:firstLine="709"/>
        <w:jc w:val="both"/>
        <w:outlineLvl w:val="0"/>
        <w:rPr>
          <w:b/>
          <w:bCs/>
        </w:rPr>
      </w:pPr>
    </w:p>
    <w:p w:rsidR="00E93C1F" w:rsidRPr="00945A87" w:rsidRDefault="0063675C" w:rsidP="00544422">
      <w:pPr>
        <w:spacing w:line="360" w:lineRule="auto"/>
        <w:ind w:firstLine="709"/>
        <w:jc w:val="both"/>
        <w:outlineLvl w:val="0"/>
        <w:rPr>
          <w:b/>
          <w:bCs/>
        </w:rPr>
      </w:pPr>
      <w:r w:rsidRPr="00945A87">
        <w:rPr>
          <w:b/>
          <w:bCs/>
        </w:rPr>
        <w:t xml:space="preserve">3. Суть проекту </w:t>
      </w:r>
      <w:r w:rsidR="00DA37EB" w:rsidRPr="00945A87">
        <w:rPr>
          <w:b/>
          <w:bCs/>
        </w:rPr>
        <w:t>Закону</w:t>
      </w:r>
    </w:p>
    <w:p w:rsidR="0058169C" w:rsidRDefault="00080A8D" w:rsidP="00EB4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945A87">
        <w:t>Проект</w:t>
      </w:r>
      <w:r w:rsidR="00EB418E" w:rsidRPr="00945A87">
        <w:t>ом</w:t>
      </w:r>
      <w:r w:rsidRPr="00945A87">
        <w:t xml:space="preserve"> </w:t>
      </w:r>
      <w:r w:rsidR="00DA37EB" w:rsidRPr="00945A87">
        <w:t xml:space="preserve">Закону </w:t>
      </w:r>
      <w:r w:rsidR="00EB418E" w:rsidRPr="00945A87">
        <w:t xml:space="preserve">пропонується </w:t>
      </w:r>
      <w:r w:rsidR="00DF13F6">
        <w:t>вийти з</w:t>
      </w:r>
      <w:r w:rsidR="00EB418E" w:rsidRPr="00945A87">
        <w:t xml:space="preserve"> Догов</w:t>
      </w:r>
      <w:r w:rsidR="00DF13F6">
        <w:t>о</w:t>
      </w:r>
      <w:r w:rsidR="00EB418E" w:rsidRPr="00945A87">
        <w:t>р</w:t>
      </w:r>
      <w:r w:rsidR="00DF13F6">
        <w:t>у</w:t>
      </w:r>
      <w:r w:rsidR="00EB418E" w:rsidRPr="00945A87">
        <w:t xml:space="preserve"> про проведення узгодженої антимонопольної політики від 25 січня 2000 року, ратифікован</w:t>
      </w:r>
      <w:r w:rsidR="00DF13F6">
        <w:t>ого</w:t>
      </w:r>
      <w:r w:rsidR="00EB418E" w:rsidRPr="00945A87">
        <w:t xml:space="preserve"> Верховною Радою України із застереженнями Законом України від 16 січня 2003 року № 449-ІV</w:t>
      </w:r>
      <w:r w:rsidR="00B80C50" w:rsidRPr="00945A87">
        <w:t>.</w:t>
      </w:r>
    </w:p>
    <w:p w:rsidR="00A23546" w:rsidRDefault="00A23546" w:rsidP="00EB41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BD5D21" w:rsidRPr="00945A87" w:rsidRDefault="00BD5D21" w:rsidP="00BD5D21">
      <w:pPr>
        <w:spacing w:line="360" w:lineRule="auto"/>
        <w:ind w:firstLine="709"/>
        <w:jc w:val="both"/>
        <w:outlineLvl w:val="0"/>
        <w:rPr>
          <w:b/>
          <w:bCs/>
        </w:rPr>
      </w:pPr>
      <w:r>
        <w:rPr>
          <w:b/>
          <w:bCs/>
        </w:rPr>
        <w:t>4</w:t>
      </w:r>
      <w:r w:rsidRPr="00945A87">
        <w:rPr>
          <w:b/>
          <w:bCs/>
        </w:rPr>
        <w:t xml:space="preserve">. </w:t>
      </w:r>
      <w:r>
        <w:rPr>
          <w:b/>
          <w:bCs/>
        </w:rPr>
        <w:t>Вплив на бюджет</w:t>
      </w:r>
    </w:p>
    <w:p w:rsidR="00BD5D21" w:rsidRDefault="00BD5D21" w:rsidP="00A23546">
      <w:pPr>
        <w:spacing w:line="360" w:lineRule="auto"/>
        <w:ind w:firstLine="709"/>
        <w:jc w:val="both"/>
        <w:rPr>
          <w:rStyle w:val="CharStyle12"/>
          <w:sz w:val="28"/>
          <w:szCs w:val="28"/>
        </w:rPr>
      </w:pPr>
      <w:r w:rsidRPr="00945A87">
        <w:rPr>
          <w:rStyle w:val="CharStyle12"/>
          <w:sz w:val="28"/>
          <w:szCs w:val="28"/>
        </w:rPr>
        <w:t>Реалізація Закону не потребує додатков</w:t>
      </w:r>
      <w:r w:rsidR="00A23546">
        <w:rPr>
          <w:rStyle w:val="CharStyle12"/>
          <w:sz w:val="28"/>
          <w:szCs w:val="28"/>
        </w:rPr>
        <w:t>их видатків державного бюджету.</w:t>
      </w:r>
    </w:p>
    <w:p w:rsidR="00A23546" w:rsidRPr="00A23546" w:rsidRDefault="00A23546" w:rsidP="00A23546">
      <w:pPr>
        <w:spacing w:line="360" w:lineRule="auto"/>
        <w:ind w:firstLine="709"/>
        <w:jc w:val="both"/>
        <w:rPr>
          <w:shd w:val="clear" w:color="auto" w:fill="FFFFFF"/>
        </w:rPr>
      </w:pPr>
    </w:p>
    <w:p w:rsidR="006750C7" w:rsidRPr="00945A87" w:rsidRDefault="006750C7" w:rsidP="00DD3209">
      <w:pPr>
        <w:spacing w:line="360" w:lineRule="auto"/>
        <w:ind w:firstLine="709"/>
        <w:jc w:val="both"/>
        <w:outlineLvl w:val="0"/>
        <w:rPr>
          <w:b/>
          <w:bCs/>
        </w:rPr>
      </w:pPr>
      <w:r w:rsidRPr="00945A87">
        <w:rPr>
          <w:b/>
          <w:bCs/>
        </w:rPr>
        <w:t>6. Прогноз впливу</w:t>
      </w:r>
    </w:p>
    <w:p w:rsidR="0060768E" w:rsidRDefault="006750C7" w:rsidP="00C671CB">
      <w:pPr>
        <w:spacing w:line="360" w:lineRule="auto"/>
        <w:ind w:firstLine="709"/>
        <w:jc w:val="both"/>
      </w:pPr>
      <w:r w:rsidRPr="00945A87">
        <w:t xml:space="preserve">Прийняття цього акту </w:t>
      </w:r>
      <w:r w:rsidR="00C671CB" w:rsidRPr="00945A87">
        <w:t>захистить економічний національний інтерес України</w:t>
      </w:r>
      <w:r w:rsidR="00052CD0">
        <w:t xml:space="preserve"> та інтереси </w:t>
      </w:r>
      <w:r w:rsidR="006D0671">
        <w:t>суб’єктів</w:t>
      </w:r>
      <w:r w:rsidR="00052CD0">
        <w:t xml:space="preserve"> господарювання на з</w:t>
      </w:r>
      <w:r w:rsidR="006D0671">
        <w:t>ахист</w:t>
      </w:r>
      <w:r w:rsidR="00052CD0">
        <w:t xml:space="preserve"> інформації</w:t>
      </w:r>
      <w:r w:rsidR="00C671CB" w:rsidRPr="00945A87">
        <w:t>, оскільки усуне механізм, який зумовлює міждержавний обмін інформацією з економічних питань</w:t>
      </w:r>
      <w:r w:rsidR="00103BB8">
        <w:t xml:space="preserve"> (прогноз впливу додається)</w:t>
      </w:r>
      <w:r w:rsidR="00C671CB" w:rsidRPr="00945A87">
        <w:t>.</w:t>
      </w:r>
    </w:p>
    <w:p w:rsidR="00A23546" w:rsidRPr="00945A87" w:rsidRDefault="00A23546" w:rsidP="00C671CB">
      <w:pPr>
        <w:spacing w:line="360" w:lineRule="auto"/>
        <w:ind w:firstLine="709"/>
        <w:jc w:val="both"/>
        <w:rPr>
          <w:bCs/>
        </w:rPr>
      </w:pPr>
    </w:p>
    <w:p w:rsidR="00914BDF" w:rsidRPr="00945A87" w:rsidRDefault="00914BDF" w:rsidP="00544422">
      <w:pPr>
        <w:spacing w:line="360" w:lineRule="auto"/>
        <w:ind w:firstLine="709"/>
        <w:jc w:val="both"/>
        <w:outlineLvl w:val="0"/>
        <w:rPr>
          <w:b/>
          <w:bCs/>
        </w:rPr>
      </w:pPr>
      <w:r w:rsidRPr="00945A87">
        <w:rPr>
          <w:b/>
          <w:bCs/>
        </w:rPr>
        <w:t>7. Позиція заінтересованих сторін</w:t>
      </w:r>
    </w:p>
    <w:p w:rsidR="00EB0E9A" w:rsidRPr="00945A87" w:rsidRDefault="00EB0E9A" w:rsidP="00544422">
      <w:pPr>
        <w:spacing w:line="360" w:lineRule="auto"/>
        <w:ind w:firstLine="709"/>
        <w:jc w:val="both"/>
      </w:pPr>
      <w:r w:rsidRPr="00945A87">
        <w:t>Проект акту не потребує консультацій із заінтересованими сторонами.</w:t>
      </w:r>
    </w:p>
    <w:p w:rsidR="00914BDF" w:rsidRPr="00945A87" w:rsidRDefault="00914BDF" w:rsidP="00544422">
      <w:pPr>
        <w:spacing w:line="360" w:lineRule="auto"/>
        <w:ind w:firstLine="709"/>
        <w:jc w:val="both"/>
      </w:pPr>
      <w:r w:rsidRPr="00945A87">
        <w:t>Проект Закону погоджен</w:t>
      </w:r>
      <w:r w:rsidR="00DC7780">
        <w:t>о без зауважень</w:t>
      </w:r>
      <w:r w:rsidRPr="00945A87">
        <w:t xml:space="preserve"> Міністерством фінансів України, Міністерством </w:t>
      </w:r>
      <w:r w:rsidR="00BD5D21">
        <w:t xml:space="preserve">розвитку економіки, торгівлі та сільського господарства </w:t>
      </w:r>
      <w:r w:rsidR="00BD5D21">
        <w:lastRenderedPageBreak/>
        <w:t>України</w:t>
      </w:r>
      <w:r w:rsidR="00472558" w:rsidRPr="00472558">
        <w:t>, М</w:t>
      </w:r>
      <w:r w:rsidR="00472558">
        <w:t>і</w:t>
      </w:r>
      <w:r w:rsidR="00472558" w:rsidRPr="00472558">
        <w:t>н</w:t>
      </w:r>
      <w:r w:rsidR="00472558">
        <w:t>і</w:t>
      </w:r>
      <w:r w:rsidR="00472558" w:rsidRPr="00472558">
        <w:t>стерством закордонних справ</w:t>
      </w:r>
      <w:r w:rsidR="00472558">
        <w:t xml:space="preserve"> України</w:t>
      </w:r>
      <w:r w:rsidR="00BD5D21">
        <w:t>, Міністерством юстиції України</w:t>
      </w:r>
      <w:r w:rsidR="00472558">
        <w:t>.</w:t>
      </w:r>
    </w:p>
    <w:p w:rsidR="00914BDF" w:rsidRPr="00945A87" w:rsidRDefault="0024205A" w:rsidP="00DD3209">
      <w:pPr>
        <w:spacing w:line="360" w:lineRule="auto"/>
        <w:ind w:firstLine="709"/>
        <w:jc w:val="both"/>
      </w:pPr>
      <w:r w:rsidRPr="00945A87">
        <w:t>Реалізація акта не матиме впливу на інтереси окремих верств (груп) населення, об'єднаних спільними інтересами, суб'єктів господарювання тощо.</w:t>
      </w:r>
    </w:p>
    <w:p w:rsidR="00C732B4" w:rsidRDefault="00C732B4" w:rsidP="00C732B4">
      <w:pPr>
        <w:spacing w:line="360" w:lineRule="auto"/>
        <w:ind w:firstLine="709"/>
        <w:jc w:val="both"/>
      </w:pPr>
      <w:r w:rsidRPr="00C732B4">
        <w:t>У проекті акту відсутні положення, які порушують принцип забезпечення рівних прав та можливостей жінок і чоловіків.</w:t>
      </w:r>
    </w:p>
    <w:p w:rsidR="00A23546" w:rsidRPr="00C732B4" w:rsidRDefault="00A23546" w:rsidP="00C732B4">
      <w:pPr>
        <w:spacing w:line="360" w:lineRule="auto"/>
        <w:ind w:firstLine="709"/>
        <w:jc w:val="both"/>
      </w:pPr>
    </w:p>
    <w:p w:rsidR="00BD5D21" w:rsidRPr="00945A87" w:rsidRDefault="00BD5D21" w:rsidP="00BD5D21">
      <w:pPr>
        <w:spacing w:line="360" w:lineRule="auto"/>
        <w:ind w:firstLine="709"/>
        <w:jc w:val="both"/>
        <w:outlineLvl w:val="0"/>
        <w:rPr>
          <w:b/>
          <w:bCs/>
        </w:rPr>
      </w:pPr>
      <w:r>
        <w:rPr>
          <w:b/>
          <w:bCs/>
        </w:rPr>
        <w:t>9</w:t>
      </w:r>
      <w:r w:rsidRPr="00945A87">
        <w:rPr>
          <w:b/>
          <w:bCs/>
        </w:rPr>
        <w:t>. Підстава розроблення проекту Закону</w:t>
      </w:r>
    </w:p>
    <w:p w:rsidR="00BD5D21" w:rsidRPr="00945A87" w:rsidRDefault="00BD5D21" w:rsidP="00A23546">
      <w:pPr>
        <w:spacing w:line="360" w:lineRule="auto"/>
        <w:ind w:firstLine="709"/>
        <w:jc w:val="both"/>
      </w:pPr>
      <w:r w:rsidRPr="00945A87">
        <w:t xml:space="preserve">Проект акту розроблено на виконання Указу Президента України від 19.05.2018 № 139 «Про рішення Ради національної безпеки і оборони України від 2 травня 2018 року «Про припинення дії для України окремих міжнародних договорів, укладених у рамках Співдружності Незалежних Держав». </w:t>
      </w:r>
    </w:p>
    <w:p w:rsidR="003A71E5" w:rsidRDefault="003A71E5" w:rsidP="00FE19F5">
      <w:pPr>
        <w:pStyle w:val="rvps2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FE19F5" w:rsidRDefault="00FE19F5" w:rsidP="00FE19F5">
      <w:pPr>
        <w:pStyle w:val="rvps2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FE19F5" w:rsidRPr="00945A87" w:rsidRDefault="00FE19F5" w:rsidP="00FE19F5">
      <w:pPr>
        <w:pStyle w:val="rvps2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345518" w:rsidRPr="00945A87" w:rsidRDefault="005A640B" w:rsidP="00FE19F5">
      <w:pPr>
        <w:pStyle w:val="rvps2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В.о. </w:t>
      </w:r>
      <w:r w:rsidR="00DA37EB" w:rsidRPr="00945A87">
        <w:rPr>
          <w:b/>
          <w:color w:val="000000"/>
          <w:sz w:val="28"/>
          <w:szCs w:val="28"/>
        </w:rPr>
        <w:t>Голов</w:t>
      </w:r>
      <w:r>
        <w:rPr>
          <w:b/>
          <w:color w:val="000000"/>
          <w:sz w:val="28"/>
          <w:szCs w:val="28"/>
        </w:rPr>
        <w:t>и</w:t>
      </w:r>
      <w:r w:rsidR="00DA37EB" w:rsidRPr="00945A87">
        <w:rPr>
          <w:b/>
          <w:color w:val="000000"/>
          <w:sz w:val="28"/>
          <w:szCs w:val="28"/>
        </w:rPr>
        <w:br/>
      </w:r>
      <w:r w:rsidR="00345518" w:rsidRPr="00945A87">
        <w:rPr>
          <w:b/>
          <w:color w:val="000000"/>
          <w:sz w:val="28"/>
          <w:szCs w:val="28"/>
        </w:rPr>
        <w:t xml:space="preserve">Антимонопольного </w:t>
      </w:r>
      <w:r w:rsidR="00DA37EB" w:rsidRPr="00945A87">
        <w:rPr>
          <w:b/>
          <w:color w:val="000000"/>
          <w:sz w:val="28"/>
          <w:szCs w:val="28"/>
        </w:rPr>
        <w:t xml:space="preserve">комітету </w:t>
      </w:r>
      <w:r w:rsidR="00345518" w:rsidRPr="00945A87">
        <w:rPr>
          <w:b/>
          <w:color w:val="000000"/>
          <w:sz w:val="28"/>
          <w:szCs w:val="28"/>
        </w:rPr>
        <w:t xml:space="preserve">України                    </w:t>
      </w:r>
      <w:r>
        <w:rPr>
          <w:b/>
          <w:color w:val="000000"/>
          <w:sz w:val="28"/>
          <w:szCs w:val="28"/>
        </w:rPr>
        <w:t xml:space="preserve">                </w:t>
      </w:r>
      <w:r w:rsidR="005B0EBF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О</w:t>
      </w:r>
      <w:r w:rsidR="00BD5D21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ПІЩАНСЬКА</w:t>
      </w:r>
    </w:p>
    <w:p w:rsidR="00345518" w:rsidRPr="00945A87" w:rsidRDefault="005A640B" w:rsidP="00FE19F5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06 липня</w:t>
      </w:r>
      <w:r w:rsidR="00345518" w:rsidRPr="00945A87">
        <w:rPr>
          <w:sz w:val="28"/>
          <w:szCs w:val="28"/>
        </w:rPr>
        <w:t xml:space="preserve"> </w:t>
      </w:r>
      <w:r w:rsidR="003A675D">
        <w:rPr>
          <w:sz w:val="28"/>
          <w:szCs w:val="28"/>
        </w:rPr>
        <w:t>20</w:t>
      </w:r>
      <w:r w:rsidR="003A675D">
        <w:rPr>
          <w:sz w:val="28"/>
          <w:szCs w:val="28"/>
          <w:lang w:val="ru-RU"/>
        </w:rPr>
        <w:t>20</w:t>
      </w:r>
      <w:r w:rsidR="00741ADA" w:rsidRPr="00945A87">
        <w:rPr>
          <w:sz w:val="28"/>
          <w:szCs w:val="28"/>
        </w:rPr>
        <w:t xml:space="preserve"> </w:t>
      </w:r>
      <w:r w:rsidR="00345518" w:rsidRPr="00945A87">
        <w:rPr>
          <w:sz w:val="28"/>
          <w:szCs w:val="28"/>
        </w:rPr>
        <w:t>р.</w:t>
      </w:r>
    </w:p>
    <w:p w:rsidR="00345518" w:rsidRPr="00945A87" w:rsidRDefault="00345518" w:rsidP="00544422">
      <w:pPr>
        <w:spacing w:line="360" w:lineRule="auto"/>
        <w:ind w:firstLine="709"/>
        <w:jc w:val="both"/>
        <w:outlineLvl w:val="0"/>
      </w:pPr>
    </w:p>
    <w:p w:rsidR="002967CC" w:rsidRPr="00945A87" w:rsidRDefault="002967CC" w:rsidP="00544422">
      <w:pPr>
        <w:spacing w:line="360" w:lineRule="auto"/>
        <w:ind w:firstLine="709"/>
        <w:jc w:val="both"/>
      </w:pPr>
    </w:p>
    <w:sectPr w:rsidR="002967CC" w:rsidRPr="00945A87" w:rsidSect="00544422">
      <w:headerReference w:type="default" r:id="rId8"/>
      <w:pgSz w:w="11907" w:h="16839" w:code="9"/>
      <w:pgMar w:top="1135" w:right="850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5EB" w:rsidRDefault="00E875EB">
      <w:r>
        <w:separator/>
      </w:r>
    </w:p>
  </w:endnote>
  <w:endnote w:type="continuationSeparator" w:id="0">
    <w:p w:rsidR="00E875EB" w:rsidRDefault="00E87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5EB" w:rsidRDefault="00E875EB">
      <w:r>
        <w:separator/>
      </w:r>
    </w:p>
  </w:footnote>
  <w:footnote w:type="continuationSeparator" w:id="0">
    <w:p w:rsidR="00E875EB" w:rsidRDefault="00E875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518" w:rsidRDefault="00345518" w:rsidP="005707CA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C579B">
      <w:rPr>
        <w:rStyle w:val="a5"/>
        <w:noProof/>
      </w:rPr>
      <w:t>5</w:t>
    </w:r>
    <w:r>
      <w:rPr>
        <w:rStyle w:val="a5"/>
      </w:rPr>
      <w:fldChar w:fldCharType="end"/>
    </w:r>
  </w:p>
  <w:p w:rsidR="00345518" w:rsidRDefault="0034551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F3FC5"/>
    <w:multiLevelType w:val="hybridMultilevel"/>
    <w:tmpl w:val="7EEA6B54"/>
    <w:lvl w:ilvl="0" w:tplc="185E5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5F2133D"/>
    <w:multiLevelType w:val="hybridMultilevel"/>
    <w:tmpl w:val="6748D262"/>
    <w:lvl w:ilvl="0" w:tplc="CB6A25A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Formatting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FC"/>
    <w:rsid w:val="00001C36"/>
    <w:rsid w:val="000037D5"/>
    <w:rsid w:val="00006E1E"/>
    <w:rsid w:val="00011F9A"/>
    <w:rsid w:val="0002636A"/>
    <w:rsid w:val="0004371E"/>
    <w:rsid w:val="00052CD0"/>
    <w:rsid w:val="0006445E"/>
    <w:rsid w:val="00072BF6"/>
    <w:rsid w:val="00080A8D"/>
    <w:rsid w:val="000D1528"/>
    <w:rsid w:val="0010236F"/>
    <w:rsid w:val="00102E4B"/>
    <w:rsid w:val="00103BB8"/>
    <w:rsid w:val="00110977"/>
    <w:rsid w:val="001220B5"/>
    <w:rsid w:val="00122E27"/>
    <w:rsid w:val="00131551"/>
    <w:rsid w:val="00143200"/>
    <w:rsid w:val="001C579B"/>
    <w:rsid w:val="001D602A"/>
    <w:rsid w:val="00237CFC"/>
    <w:rsid w:val="0024205A"/>
    <w:rsid w:val="00250CB3"/>
    <w:rsid w:val="002765C3"/>
    <w:rsid w:val="0028302F"/>
    <w:rsid w:val="00285139"/>
    <w:rsid w:val="002967CC"/>
    <w:rsid w:val="002B225D"/>
    <w:rsid w:val="002B4CBB"/>
    <w:rsid w:val="002B5D30"/>
    <w:rsid w:val="002D17C6"/>
    <w:rsid w:val="00312315"/>
    <w:rsid w:val="00320767"/>
    <w:rsid w:val="00345518"/>
    <w:rsid w:val="00356603"/>
    <w:rsid w:val="0037192E"/>
    <w:rsid w:val="00371A12"/>
    <w:rsid w:val="003837D3"/>
    <w:rsid w:val="003978B2"/>
    <w:rsid w:val="003A388B"/>
    <w:rsid w:val="003A38F6"/>
    <w:rsid w:val="003A675D"/>
    <w:rsid w:val="003A71E5"/>
    <w:rsid w:val="003B16D2"/>
    <w:rsid w:val="003B222E"/>
    <w:rsid w:val="003B2D86"/>
    <w:rsid w:val="003B307A"/>
    <w:rsid w:val="003B6AF6"/>
    <w:rsid w:val="003C05FF"/>
    <w:rsid w:val="003D2AD6"/>
    <w:rsid w:val="003D492F"/>
    <w:rsid w:val="003D4C73"/>
    <w:rsid w:val="00411BE4"/>
    <w:rsid w:val="0042354B"/>
    <w:rsid w:val="0043545A"/>
    <w:rsid w:val="004517DE"/>
    <w:rsid w:val="00472558"/>
    <w:rsid w:val="004E41AC"/>
    <w:rsid w:val="00522A8B"/>
    <w:rsid w:val="005416D9"/>
    <w:rsid w:val="00544422"/>
    <w:rsid w:val="00547F5D"/>
    <w:rsid w:val="0056585A"/>
    <w:rsid w:val="005707CA"/>
    <w:rsid w:val="0058169C"/>
    <w:rsid w:val="005A640B"/>
    <w:rsid w:val="005B0EBF"/>
    <w:rsid w:val="005C0F15"/>
    <w:rsid w:val="005E45F5"/>
    <w:rsid w:val="005E5357"/>
    <w:rsid w:val="005E59FF"/>
    <w:rsid w:val="0060768E"/>
    <w:rsid w:val="0063675C"/>
    <w:rsid w:val="00645401"/>
    <w:rsid w:val="00650B32"/>
    <w:rsid w:val="00667A78"/>
    <w:rsid w:val="006750C7"/>
    <w:rsid w:val="00682854"/>
    <w:rsid w:val="006A0BE3"/>
    <w:rsid w:val="006B06B8"/>
    <w:rsid w:val="006C2701"/>
    <w:rsid w:val="006C2A07"/>
    <w:rsid w:val="006D0671"/>
    <w:rsid w:val="006E2255"/>
    <w:rsid w:val="00732CB7"/>
    <w:rsid w:val="00741ADA"/>
    <w:rsid w:val="007631B2"/>
    <w:rsid w:val="0076690D"/>
    <w:rsid w:val="0077234A"/>
    <w:rsid w:val="007845C5"/>
    <w:rsid w:val="007862E9"/>
    <w:rsid w:val="008143CE"/>
    <w:rsid w:val="00833366"/>
    <w:rsid w:val="00833BE9"/>
    <w:rsid w:val="00845712"/>
    <w:rsid w:val="008571E7"/>
    <w:rsid w:val="00857352"/>
    <w:rsid w:val="0086054E"/>
    <w:rsid w:val="00874D71"/>
    <w:rsid w:val="00877791"/>
    <w:rsid w:val="0089073B"/>
    <w:rsid w:val="008D2570"/>
    <w:rsid w:val="008E491E"/>
    <w:rsid w:val="00914BDF"/>
    <w:rsid w:val="00916ABE"/>
    <w:rsid w:val="00920298"/>
    <w:rsid w:val="00945A87"/>
    <w:rsid w:val="00946B98"/>
    <w:rsid w:val="00951E2F"/>
    <w:rsid w:val="009527DA"/>
    <w:rsid w:val="00961595"/>
    <w:rsid w:val="009869B5"/>
    <w:rsid w:val="009B3F10"/>
    <w:rsid w:val="009C5656"/>
    <w:rsid w:val="009C5CFC"/>
    <w:rsid w:val="009D4293"/>
    <w:rsid w:val="009D463D"/>
    <w:rsid w:val="009E7268"/>
    <w:rsid w:val="009F34A8"/>
    <w:rsid w:val="00A10F74"/>
    <w:rsid w:val="00A23546"/>
    <w:rsid w:val="00A23805"/>
    <w:rsid w:val="00A3468F"/>
    <w:rsid w:val="00A427B6"/>
    <w:rsid w:val="00A45459"/>
    <w:rsid w:val="00A63F43"/>
    <w:rsid w:val="00A91E33"/>
    <w:rsid w:val="00AD27C6"/>
    <w:rsid w:val="00AD4626"/>
    <w:rsid w:val="00AE13CC"/>
    <w:rsid w:val="00B33420"/>
    <w:rsid w:val="00B4165E"/>
    <w:rsid w:val="00B80C50"/>
    <w:rsid w:val="00BB7651"/>
    <w:rsid w:val="00BD2741"/>
    <w:rsid w:val="00BD5D21"/>
    <w:rsid w:val="00BE7D57"/>
    <w:rsid w:val="00BF3487"/>
    <w:rsid w:val="00C23F73"/>
    <w:rsid w:val="00C37CF4"/>
    <w:rsid w:val="00C47F2E"/>
    <w:rsid w:val="00C671CB"/>
    <w:rsid w:val="00C732B4"/>
    <w:rsid w:val="00C94FC6"/>
    <w:rsid w:val="00CB702C"/>
    <w:rsid w:val="00CC4A6B"/>
    <w:rsid w:val="00D172D8"/>
    <w:rsid w:val="00D23A39"/>
    <w:rsid w:val="00D41A7D"/>
    <w:rsid w:val="00D505B6"/>
    <w:rsid w:val="00D5094F"/>
    <w:rsid w:val="00DA0C19"/>
    <w:rsid w:val="00DA37EB"/>
    <w:rsid w:val="00DC32AC"/>
    <w:rsid w:val="00DC6D6B"/>
    <w:rsid w:val="00DC7780"/>
    <w:rsid w:val="00DD3209"/>
    <w:rsid w:val="00DF13F6"/>
    <w:rsid w:val="00DF2079"/>
    <w:rsid w:val="00E83183"/>
    <w:rsid w:val="00E875EB"/>
    <w:rsid w:val="00E90430"/>
    <w:rsid w:val="00E93C1F"/>
    <w:rsid w:val="00EB0E9A"/>
    <w:rsid w:val="00EB418E"/>
    <w:rsid w:val="00EE5F05"/>
    <w:rsid w:val="00F2212C"/>
    <w:rsid w:val="00F3228B"/>
    <w:rsid w:val="00F50D9F"/>
    <w:rsid w:val="00F97DAA"/>
    <w:rsid w:val="00FA78CD"/>
    <w:rsid w:val="00FE19F5"/>
    <w:rsid w:val="00FE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CFC"/>
    <w:pPr>
      <w:spacing w:line="276" w:lineRule="auto"/>
    </w:pPr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12">
    <w:name w:val="Char Style 12"/>
    <w:link w:val="Style2"/>
    <w:uiPriority w:val="99"/>
    <w:locked/>
    <w:rsid w:val="009C5CFC"/>
    <w:rPr>
      <w:sz w:val="27"/>
      <w:szCs w:val="27"/>
      <w:shd w:val="clear" w:color="auto" w:fill="FFFFFF"/>
    </w:rPr>
  </w:style>
  <w:style w:type="paragraph" w:customStyle="1" w:styleId="Style2">
    <w:name w:val="Style 2"/>
    <w:basedOn w:val="a"/>
    <w:link w:val="CharStyle12"/>
    <w:uiPriority w:val="99"/>
    <w:rsid w:val="009C5CFC"/>
    <w:pPr>
      <w:widowControl w:val="0"/>
      <w:shd w:val="clear" w:color="auto" w:fill="FFFFFF"/>
      <w:spacing w:before="180" w:after="60" w:line="319" w:lineRule="exact"/>
      <w:jc w:val="both"/>
    </w:pPr>
    <w:rPr>
      <w:rFonts w:ascii="Calibri" w:eastAsia="Times New Roman" w:hAnsi="Calibri" w:cs="Calibri"/>
      <w:sz w:val="27"/>
      <w:szCs w:val="27"/>
      <w:lang w:val="ru-RU"/>
    </w:rPr>
  </w:style>
  <w:style w:type="character" w:customStyle="1" w:styleId="2Sylfaen">
    <w:name w:val="Основной текст (2) + Sylfaen"/>
    <w:aliases w:val="12,5 pt"/>
    <w:uiPriority w:val="99"/>
    <w:rsid w:val="009C5CFC"/>
    <w:rPr>
      <w:rFonts w:ascii="Sylfaen" w:hAnsi="Sylfaen" w:cs="Sylfaen"/>
      <w:color w:val="000000"/>
      <w:spacing w:val="0"/>
      <w:w w:val="100"/>
      <w:position w:val="0"/>
      <w:sz w:val="25"/>
      <w:szCs w:val="25"/>
      <w:u w:val="none"/>
      <w:lang w:val="uk-UA" w:eastAsia="x-none"/>
    </w:rPr>
  </w:style>
  <w:style w:type="paragraph" w:styleId="a3">
    <w:name w:val="header"/>
    <w:basedOn w:val="a"/>
    <w:link w:val="a4"/>
    <w:uiPriority w:val="99"/>
    <w:rsid w:val="00522A8B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rsid w:val="00F417B5"/>
    <w:rPr>
      <w:rFonts w:ascii="Times New Roman" w:hAnsi="Times New Roman"/>
      <w:sz w:val="28"/>
      <w:szCs w:val="28"/>
      <w:lang w:val="uk-UA"/>
    </w:rPr>
  </w:style>
  <w:style w:type="character" w:styleId="a5">
    <w:name w:val="page number"/>
    <w:basedOn w:val="a0"/>
    <w:uiPriority w:val="99"/>
    <w:rsid w:val="00522A8B"/>
  </w:style>
  <w:style w:type="paragraph" w:styleId="a6">
    <w:name w:val="Balloon Text"/>
    <w:basedOn w:val="a"/>
    <w:semiHidden/>
    <w:rsid w:val="00001C3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250CB3"/>
  </w:style>
  <w:style w:type="paragraph" w:styleId="a7">
    <w:name w:val="footnote text"/>
    <w:basedOn w:val="a"/>
    <w:rsid w:val="002765C3"/>
    <w:pPr>
      <w:spacing w:line="240" w:lineRule="auto"/>
    </w:pPr>
    <w:rPr>
      <w:rFonts w:ascii="Calibri" w:eastAsia="Times New Roman" w:hAnsi="Calibri"/>
      <w:sz w:val="20"/>
      <w:szCs w:val="20"/>
    </w:rPr>
  </w:style>
  <w:style w:type="character" w:styleId="a8">
    <w:name w:val="footnote reference"/>
    <w:semiHidden/>
    <w:rsid w:val="002765C3"/>
    <w:rPr>
      <w:rFonts w:cs="Times New Roman"/>
      <w:vertAlign w:val="superscript"/>
    </w:rPr>
  </w:style>
  <w:style w:type="character" w:styleId="a9">
    <w:name w:val="Emphasis"/>
    <w:qFormat/>
    <w:locked/>
    <w:rsid w:val="0004371E"/>
    <w:rPr>
      <w:rFonts w:cs="Times New Roman"/>
      <w:i/>
      <w:iCs/>
    </w:rPr>
  </w:style>
  <w:style w:type="paragraph" w:customStyle="1" w:styleId="rvps2">
    <w:name w:val="rvps2"/>
    <w:basedOn w:val="a"/>
    <w:rsid w:val="0034551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Default">
    <w:name w:val="Default"/>
    <w:rsid w:val="0054442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CFC"/>
    <w:pPr>
      <w:spacing w:line="276" w:lineRule="auto"/>
    </w:pPr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12">
    <w:name w:val="Char Style 12"/>
    <w:link w:val="Style2"/>
    <w:uiPriority w:val="99"/>
    <w:locked/>
    <w:rsid w:val="009C5CFC"/>
    <w:rPr>
      <w:sz w:val="27"/>
      <w:szCs w:val="27"/>
      <w:shd w:val="clear" w:color="auto" w:fill="FFFFFF"/>
    </w:rPr>
  </w:style>
  <w:style w:type="paragraph" w:customStyle="1" w:styleId="Style2">
    <w:name w:val="Style 2"/>
    <w:basedOn w:val="a"/>
    <w:link w:val="CharStyle12"/>
    <w:uiPriority w:val="99"/>
    <w:rsid w:val="009C5CFC"/>
    <w:pPr>
      <w:widowControl w:val="0"/>
      <w:shd w:val="clear" w:color="auto" w:fill="FFFFFF"/>
      <w:spacing w:before="180" w:after="60" w:line="319" w:lineRule="exact"/>
      <w:jc w:val="both"/>
    </w:pPr>
    <w:rPr>
      <w:rFonts w:ascii="Calibri" w:eastAsia="Times New Roman" w:hAnsi="Calibri" w:cs="Calibri"/>
      <w:sz w:val="27"/>
      <w:szCs w:val="27"/>
      <w:lang w:val="ru-RU"/>
    </w:rPr>
  </w:style>
  <w:style w:type="character" w:customStyle="1" w:styleId="2Sylfaen">
    <w:name w:val="Основной текст (2) + Sylfaen"/>
    <w:aliases w:val="12,5 pt"/>
    <w:uiPriority w:val="99"/>
    <w:rsid w:val="009C5CFC"/>
    <w:rPr>
      <w:rFonts w:ascii="Sylfaen" w:hAnsi="Sylfaen" w:cs="Sylfaen"/>
      <w:color w:val="000000"/>
      <w:spacing w:val="0"/>
      <w:w w:val="100"/>
      <w:position w:val="0"/>
      <w:sz w:val="25"/>
      <w:szCs w:val="25"/>
      <w:u w:val="none"/>
      <w:lang w:val="uk-UA" w:eastAsia="x-none"/>
    </w:rPr>
  </w:style>
  <w:style w:type="paragraph" w:styleId="a3">
    <w:name w:val="header"/>
    <w:basedOn w:val="a"/>
    <w:link w:val="a4"/>
    <w:uiPriority w:val="99"/>
    <w:rsid w:val="00522A8B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rsid w:val="00F417B5"/>
    <w:rPr>
      <w:rFonts w:ascii="Times New Roman" w:hAnsi="Times New Roman"/>
      <w:sz w:val="28"/>
      <w:szCs w:val="28"/>
      <w:lang w:val="uk-UA"/>
    </w:rPr>
  </w:style>
  <w:style w:type="character" w:styleId="a5">
    <w:name w:val="page number"/>
    <w:basedOn w:val="a0"/>
    <w:uiPriority w:val="99"/>
    <w:rsid w:val="00522A8B"/>
  </w:style>
  <w:style w:type="paragraph" w:styleId="a6">
    <w:name w:val="Balloon Text"/>
    <w:basedOn w:val="a"/>
    <w:semiHidden/>
    <w:rsid w:val="00001C3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250CB3"/>
  </w:style>
  <w:style w:type="paragraph" w:styleId="a7">
    <w:name w:val="footnote text"/>
    <w:basedOn w:val="a"/>
    <w:rsid w:val="002765C3"/>
    <w:pPr>
      <w:spacing w:line="240" w:lineRule="auto"/>
    </w:pPr>
    <w:rPr>
      <w:rFonts w:ascii="Calibri" w:eastAsia="Times New Roman" w:hAnsi="Calibri"/>
      <w:sz w:val="20"/>
      <w:szCs w:val="20"/>
    </w:rPr>
  </w:style>
  <w:style w:type="character" w:styleId="a8">
    <w:name w:val="footnote reference"/>
    <w:semiHidden/>
    <w:rsid w:val="002765C3"/>
    <w:rPr>
      <w:rFonts w:cs="Times New Roman"/>
      <w:vertAlign w:val="superscript"/>
    </w:rPr>
  </w:style>
  <w:style w:type="character" w:styleId="a9">
    <w:name w:val="Emphasis"/>
    <w:qFormat/>
    <w:locked/>
    <w:rsid w:val="0004371E"/>
    <w:rPr>
      <w:rFonts w:cs="Times New Roman"/>
      <w:i/>
      <w:iCs/>
    </w:rPr>
  </w:style>
  <w:style w:type="paragraph" w:customStyle="1" w:styleId="rvps2">
    <w:name w:val="rvps2"/>
    <w:basedOn w:val="a"/>
    <w:rsid w:val="0034551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Default">
    <w:name w:val="Default"/>
    <w:rsid w:val="0054442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4806</Words>
  <Characters>2740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>*</Company>
  <LinksUpToDate>false</LinksUpToDate>
  <CharactersWithSpaces>7531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Людмила Кравченко (RMJ-FUJITSU24 - l.kravchenko)</dc:creator>
  <cp:lastModifiedBy>User</cp:lastModifiedBy>
  <cp:revision>2</cp:revision>
  <cp:lastPrinted>2020-07-06T08:50:00Z</cp:lastPrinted>
  <dcterms:created xsi:type="dcterms:W3CDTF">2020-07-10T11:34:00Z</dcterms:created>
  <dcterms:modified xsi:type="dcterms:W3CDTF">2020-07-10T11:34:00Z</dcterms:modified>
</cp:coreProperties>
</file>